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9BB60" w14:textId="77777777" w:rsidR="000E4CAE" w:rsidRDefault="00EF0D66">
      <w:pPr>
        <w:autoSpaceDE w:val="0"/>
        <w:autoSpaceDN w:val="0"/>
        <w:spacing w:before="100" w:beforeAutospacing="1"/>
        <w:ind w:right="49"/>
        <w:jc w:val="center"/>
        <w:rPr>
          <w:sz w:val="22"/>
          <w:szCs w:val="22"/>
        </w:rPr>
      </w:pPr>
      <w:r>
        <w:rPr>
          <w:rStyle w:val="Siln"/>
          <w:sz w:val="32"/>
          <w:szCs w:val="32"/>
        </w:rPr>
        <w:t>Kupní smlouva o prodeji a koupi nemovitých věcí</w:t>
      </w:r>
    </w:p>
    <w:p w14:paraId="77261E60" w14:textId="77777777" w:rsidR="000E4CAE" w:rsidRDefault="00EF0D66">
      <w:pPr>
        <w:autoSpaceDE w:val="0"/>
        <w:autoSpaceDN w:val="0"/>
        <w:spacing w:before="100" w:beforeAutospacing="1"/>
        <w:ind w:right="49"/>
        <w:jc w:val="center"/>
        <w:rPr>
          <w:sz w:val="22"/>
          <w:szCs w:val="22"/>
        </w:rPr>
      </w:pPr>
      <w:r>
        <w:rPr>
          <w:rStyle w:val="Siln"/>
          <w:sz w:val="22"/>
          <w:szCs w:val="22"/>
        </w:rPr>
        <w:t> </w:t>
      </w:r>
    </w:p>
    <w:p w14:paraId="0C68342D" w14:textId="77777777" w:rsidR="000E4CAE" w:rsidRDefault="00EF0D66">
      <w:pPr>
        <w:autoSpaceDE w:val="0"/>
        <w:autoSpaceDN w:val="0"/>
        <w:spacing w:after="240"/>
        <w:ind w:right="51"/>
        <w:jc w:val="center"/>
        <w:rPr>
          <w:sz w:val="22"/>
          <w:szCs w:val="22"/>
        </w:rPr>
      </w:pPr>
      <w:r>
        <w:rPr>
          <w:rStyle w:val="Zdraznn"/>
          <w:sz w:val="22"/>
          <w:szCs w:val="22"/>
        </w:rPr>
        <w:t xml:space="preserve">uzavřená v souladu s příslušnými ustanoveními § 2079 a násl. (zejména § 2128 a násl.) </w:t>
      </w:r>
      <w:r>
        <w:rPr>
          <w:i/>
          <w:iCs/>
          <w:sz w:val="22"/>
          <w:szCs w:val="22"/>
        </w:rPr>
        <w:br/>
      </w:r>
      <w:r>
        <w:rPr>
          <w:rStyle w:val="Zdraznn"/>
          <w:sz w:val="22"/>
          <w:szCs w:val="22"/>
        </w:rPr>
        <w:t>zákona č. 89/2012 Sb., občanský zákoník (dále jen „NOZ“), ve znění pozdějších předpisů.</w:t>
      </w:r>
    </w:p>
    <w:p w14:paraId="14A65A06" w14:textId="77777777" w:rsidR="000E4CAE" w:rsidRDefault="00EF0D66">
      <w:pPr>
        <w:spacing w:before="100" w:beforeAutospacing="1"/>
        <w:ind w:right="49"/>
        <w:jc w:val="both"/>
        <w:rPr>
          <w:sz w:val="22"/>
          <w:szCs w:val="22"/>
        </w:rPr>
      </w:pPr>
      <w:r>
        <w:rPr>
          <w:rStyle w:val="platne1"/>
          <w:sz w:val="22"/>
          <w:szCs w:val="22"/>
        </w:rPr>
        <w:t> </w:t>
      </w:r>
    </w:p>
    <w:p w14:paraId="4915408F" w14:textId="7D6ABAF8" w:rsidR="009927E3" w:rsidRDefault="00EF0D66">
      <w:pPr>
        <w:spacing w:before="100" w:beforeAutospacing="1"/>
        <w:ind w:right="49"/>
        <w:rPr>
          <w:color w:val="192038"/>
          <w:sz w:val="21"/>
          <w:szCs w:val="21"/>
          <w:shd w:val="clear" w:color="auto" w:fill="FFFFFF"/>
        </w:rPr>
      </w:pPr>
      <w:r>
        <w:rPr>
          <w:b/>
          <w:bCs/>
          <w:color w:val="192038"/>
          <w:sz w:val="21"/>
          <w:szCs w:val="21"/>
          <w:shd w:val="clear" w:color="auto" w:fill="FFFFFF"/>
        </w:rPr>
        <w:t>GESTORE v.o.s</w:t>
      </w:r>
      <w:r>
        <w:rPr>
          <w:color w:val="192038"/>
          <w:sz w:val="21"/>
          <w:szCs w:val="21"/>
          <w:shd w:val="clear" w:color="auto" w:fill="FFFFFF"/>
        </w:rPr>
        <w:t xml:space="preserve">., IČ: 28820959, </w:t>
      </w:r>
      <w:proofErr w:type="gramStart"/>
      <w:r>
        <w:rPr>
          <w:color w:val="192038"/>
          <w:sz w:val="21"/>
          <w:szCs w:val="21"/>
          <w:shd w:val="clear" w:color="auto" w:fill="FFFFFF"/>
        </w:rPr>
        <w:t xml:space="preserve">Brno, </w:t>
      </w:r>
      <w:r w:rsidR="009927E3">
        <w:rPr>
          <w:color w:val="192038"/>
          <w:sz w:val="21"/>
          <w:szCs w:val="21"/>
          <w:shd w:val="clear" w:color="auto" w:fill="FFFFFF"/>
        </w:rPr>
        <w:t xml:space="preserve"> </w:t>
      </w:r>
      <w:r w:rsidR="009927E3" w:rsidRPr="004B1E0D">
        <w:rPr>
          <w:color w:val="192038"/>
          <w:sz w:val="21"/>
          <w:szCs w:val="21"/>
          <w:shd w:val="clear" w:color="auto" w:fill="FFFFFF"/>
        </w:rPr>
        <w:t>Čechyňská</w:t>
      </w:r>
      <w:proofErr w:type="gramEnd"/>
      <w:r w:rsidR="009927E3" w:rsidRPr="004B1E0D">
        <w:rPr>
          <w:color w:val="192038"/>
          <w:sz w:val="21"/>
          <w:szCs w:val="21"/>
          <w:shd w:val="clear" w:color="auto" w:fill="FFFFFF"/>
        </w:rPr>
        <w:t xml:space="preserve"> 419/14a</w:t>
      </w:r>
      <w:r>
        <w:rPr>
          <w:color w:val="192038"/>
          <w:sz w:val="21"/>
          <w:szCs w:val="21"/>
          <w:shd w:val="clear" w:color="auto" w:fill="FFFFFF"/>
        </w:rPr>
        <w:t>, PSČ 602 00</w:t>
      </w:r>
      <w:r>
        <w:rPr>
          <w:color w:val="192038"/>
          <w:sz w:val="21"/>
          <w:szCs w:val="21"/>
          <w:shd w:val="clear" w:color="auto" w:fill="FFFFFF"/>
        </w:rPr>
        <w:br/>
        <w:t xml:space="preserve">zapsaná v obchodním rejstříku u Krajský soud v Brně, </w:t>
      </w:r>
      <w:proofErr w:type="spellStart"/>
      <w:r>
        <w:rPr>
          <w:color w:val="192038"/>
          <w:sz w:val="21"/>
          <w:szCs w:val="21"/>
          <w:shd w:val="clear" w:color="auto" w:fill="FFFFFF"/>
        </w:rPr>
        <w:t>sp.zn</w:t>
      </w:r>
      <w:proofErr w:type="spellEnd"/>
      <w:r>
        <w:rPr>
          <w:color w:val="192038"/>
          <w:sz w:val="21"/>
          <w:szCs w:val="21"/>
          <w:shd w:val="clear" w:color="auto" w:fill="FFFFFF"/>
        </w:rPr>
        <w:t>. A 26490</w:t>
      </w:r>
      <w:r>
        <w:rPr>
          <w:color w:val="192038"/>
          <w:sz w:val="21"/>
          <w:szCs w:val="21"/>
          <w:shd w:val="clear" w:color="auto" w:fill="FFFFFF"/>
        </w:rPr>
        <w:br/>
        <w:t>Insolvenční správce dlužníka</w:t>
      </w:r>
      <w:r w:rsidR="009927E3">
        <w:rPr>
          <w:color w:val="192038"/>
          <w:sz w:val="21"/>
          <w:szCs w:val="21"/>
          <w:shd w:val="clear" w:color="auto" w:fill="FFFFFF"/>
        </w:rPr>
        <w:t xml:space="preserve">: </w:t>
      </w:r>
    </w:p>
    <w:p w14:paraId="4CD84A15" w14:textId="4F5A7CC6" w:rsidR="000E4CAE" w:rsidRDefault="00EF0D66">
      <w:pPr>
        <w:spacing w:before="100" w:beforeAutospacing="1"/>
        <w:ind w:right="49"/>
        <w:rPr>
          <w:sz w:val="22"/>
          <w:szCs w:val="22"/>
        </w:rPr>
      </w:pPr>
      <w:r>
        <w:rPr>
          <w:color w:val="192038"/>
          <w:sz w:val="21"/>
          <w:szCs w:val="21"/>
          <w:shd w:val="clear" w:color="auto" w:fill="FFFFFF"/>
        </w:rPr>
        <w:br/>
      </w:r>
      <w:r>
        <w:rPr>
          <w:b/>
          <w:bCs/>
          <w:color w:val="192038"/>
          <w:sz w:val="21"/>
          <w:szCs w:val="21"/>
          <w:shd w:val="clear" w:color="auto" w:fill="FFFFFF"/>
        </w:rPr>
        <w:t>IL CARDINE TRÁVNÍKY a.s., v likvidaci</w:t>
      </w:r>
      <w:r>
        <w:rPr>
          <w:color w:val="192038"/>
          <w:sz w:val="21"/>
          <w:szCs w:val="21"/>
          <w:shd w:val="clear" w:color="auto" w:fill="FFFFFF"/>
        </w:rPr>
        <w:t>, IČ: 27476537, Praha 9, Habartická 497/54, PSČ 190 00</w:t>
      </w:r>
      <w:r>
        <w:rPr>
          <w:color w:val="192038"/>
          <w:sz w:val="21"/>
          <w:szCs w:val="21"/>
          <w:shd w:val="clear" w:color="auto" w:fill="FFFFFF"/>
        </w:rPr>
        <w:br/>
        <w:t xml:space="preserve">zapsaná v obchodním rejstříku u Městský soud v Praze, </w:t>
      </w:r>
      <w:proofErr w:type="spellStart"/>
      <w:r>
        <w:rPr>
          <w:color w:val="192038"/>
          <w:sz w:val="21"/>
          <w:szCs w:val="21"/>
          <w:shd w:val="clear" w:color="auto" w:fill="FFFFFF"/>
        </w:rPr>
        <w:t>sp.zn</w:t>
      </w:r>
      <w:proofErr w:type="spellEnd"/>
      <w:r>
        <w:rPr>
          <w:color w:val="192038"/>
          <w:sz w:val="21"/>
          <w:szCs w:val="21"/>
          <w:shd w:val="clear" w:color="auto" w:fill="FFFFFF"/>
        </w:rPr>
        <w:t>. B 11763</w:t>
      </w:r>
      <w:r>
        <w:rPr>
          <w:sz w:val="21"/>
          <w:szCs w:val="21"/>
        </w:rPr>
        <w:t xml:space="preserve"> </w:t>
      </w:r>
    </w:p>
    <w:p w14:paraId="209EE06C" w14:textId="77777777" w:rsidR="000E4CAE" w:rsidRDefault="00EF0D66">
      <w:pPr>
        <w:pStyle w:val="Normlnweb"/>
        <w:spacing w:before="120" w:beforeAutospacing="0"/>
        <w:rPr>
          <w:b/>
          <w:bCs/>
        </w:rPr>
      </w:pPr>
      <w:r>
        <w:rPr>
          <w:sz w:val="21"/>
          <w:szCs w:val="21"/>
        </w:rPr>
        <w:t>(dále jen</w:t>
      </w:r>
      <w:r>
        <w:rPr>
          <w:b/>
          <w:bCs/>
          <w:sz w:val="21"/>
          <w:szCs w:val="21"/>
        </w:rPr>
        <w:t xml:space="preserve"> </w:t>
      </w:r>
      <w:r>
        <w:rPr>
          <w:rStyle w:val="Zdraznn"/>
          <w:b/>
          <w:bCs/>
          <w:sz w:val="21"/>
          <w:szCs w:val="21"/>
        </w:rPr>
        <w:t>„</w:t>
      </w:r>
      <w:r>
        <w:rPr>
          <w:rStyle w:val="Siln"/>
          <w:b w:val="0"/>
          <w:bCs w:val="0"/>
          <w:sz w:val="21"/>
          <w:szCs w:val="21"/>
        </w:rPr>
        <w:t>prodávající</w:t>
      </w:r>
      <w:r>
        <w:rPr>
          <w:sz w:val="21"/>
          <w:szCs w:val="21"/>
        </w:rPr>
        <w:t>“)</w:t>
      </w:r>
    </w:p>
    <w:p w14:paraId="0A144C14" w14:textId="77777777" w:rsidR="000E4CAE" w:rsidRDefault="00EF0D66">
      <w:pPr>
        <w:autoSpaceDE w:val="0"/>
        <w:autoSpaceDN w:val="0"/>
        <w:spacing w:before="100" w:beforeAutospacing="1" w:after="240"/>
        <w:ind w:right="49"/>
        <w:jc w:val="both"/>
        <w:rPr>
          <w:sz w:val="21"/>
          <w:szCs w:val="21"/>
        </w:rPr>
      </w:pPr>
      <w:r>
        <w:rPr>
          <w:sz w:val="21"/>
          <w:szCs w:val="21"/>
        </w:rPr>
        <w:t> a</w:t>
      </w:r>
    </w:p>
    <w:p w14:paraId="47B761A0" w14:textId="77777777" w:rsidR="000E4CAE" w:rsidRDefault="00EF0D66">
      <w:pPr>
        <w:autoSpaceDE w:val="0"/>
        <w:autoSpaceDN w:val="0"/>
        <w:spacing w:before="100" w:beforeAutospacing="1" w:after="240"/>
        <w:ind w:right="49"/>
        <w:jc w:val="both"/>
        <w:rPr>
          <w:sz w:val="22"/>
          <w:szCs w:val="22"/>
        </w:rPr>
      </w:pPr>
      <w:r>
        <w:rPr>
          <w:sz w:val="21"/>
          <w:szCs w:val="21"/>
          <w:shd w:val="clear" w:color="auto" w:fill="FFC000"/>
        </w:rPr>
        <w:t>…………………………………</w:t>
      </w:r>
    </w:p>
    <w:p w14:paraId="6129001A" w14:textId="77777777" w:rsidR="000E4CAE" w:rsidRDefault="00EF0D66">
      <w:pPr>
        <w:pStyle w:val="Normlnweb"/>
        <w:spacing w:before="0" w:beforeAutospacing="0"/>
      </w:pPr>
      <w:r>
        <w:rPr>
          <w:sz w:val="21"/>
          <w:szCs w:val="21"/>
        </w:rPr>
        <w:t xml:space="preserve">(dále jen </w:t>
      </w:r>
      <w:r>
        <w:rPr>
          <w:b/>
          <w:bCs/>
          <w:sz w:val="21"/>
          <w:szCs w:val="21"/>
        </w:rPr>
        <w:t>„</w:t>
      </w:r>
      <w:r>
        <w:rPr>
          <w:rStyle w:val="Siln"/>
          <w:b w:val="0"/>
          <w:bCs w:val="0"/>
          <w:sz w:val="21"/>
          <w:szCs w:val="21"/>
        </w:rPr>
        <w:t>kupující</w:t>
      </w:r>
      <w:r>
        <w:rPr>
          <w:sz w:val="21"/>
          <w:szCs w:val="21"/>
        </w:rPr>
        <w:t>“)</w:t>
      </w:r>
    </w:p>
    <w:p w14:paraId="7CF5E27F" w14:textId="77777777" w:rsidR="000E4CAE" w:rsidRDefault="00EF0D66">
      <w:pPr>
        <w:pStyle w:val="Normlnweb"/>
        <w:spacing w:before="0" w:beforeAutospacing="0"/>
      </w:pPr>
      <w:r>
        <w:rPr>
          <w:sz w:val="21"/>
          <w:szCs w:val="21"/>
        </w:rPr>
        <w:t>takto:</w:t>
      </w:r>
    </w:p>
    <w:p w14:paraId="7FFF2868" w14:textId="77777777" w:rsidR="000E4CAE" w:rsidRDefault="00EF0D66">
      <w:pPr>
        <w:pStyle w:val="Normlnweb"/>
        <w:spacing w:before="0" w:beforeAutospacing="0"/>
        <w:ind w:left="284"/>
      </w:pPr>
      <w:r>
        <w:rPr>
          <w:sz w:val="21"/>
          <w:szCs w:val="21"/>
        </w:rPr>
        <w:t> </w:t>
      </w:r>
    </w:p>
    <w:p w14:paraId="7ABE0ACC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</w:rPr>
        <w:t>I</w:t>
      </w:r>
      <w:r>
        <w:rPr>
          <w:rStyle w:val="Siln"/>
          <w:sz w:val="21"/>
          <w:szCs w:val="21"/>
          <w:u w:val="single"/>
        </w:rPr>
        <w:t>. Úvodní ustanovení</w:t>
      </w:r>
    </w:p>
    <w:p w14:paraId="67B13F66" w14:textId="79F052AA" w:rsidR="000E4CAE" w:rsidRPr="009927E3" w:rsidRDefault="00EF0D66" w:rsidP="003C1273">
      <w:pPr>
        <w:numPr>
          <w:ilvl w:val="0"/>
          <w:numId w:val="2"/>
        </w:numPr>
        <w:spacing w:before="100" w:beforeAutospacing="1" w:after="24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Na základě Usnesení, které vydal Městský soud v Praze ze dne </w:t>
      </w:r>
      <w:r>
        <w:rPr>
          <w:sz w:val="21"/>
          <w:szCs w:val="21"/>
        </w:rPr>
        <w:t>9. června 2021</w:t>
      </w:r>
      <w:r>
        <w:rPr>
          <w:rFonts w:eastAsia="Times New Roman"/>
          <w:sz w:val="21"/>
          <w:szCs w:val="21"/>
        </w:rPr>
        <w:t xml:space="preserve">, č.j. MSPH 92 INS 25445/2020-A-69, byl zjištěn úpadek a prohlášen konkurs na majetek shora uvedeného </w:t>
      </w:r>
      <w:proofErr w:type="gramStart"/>
      <w:r>
        <w:rPr>
          <w:rFonts w:eastAsia="Times New Roman"/>
          <w:sz w:val="21"/>
          <w:szCs w:val="21"/>
        </w:rPr>
        <w:t xml:space="preserve">dlužníka, </w:t>
      </w:r>
      <w:r w:rsidR="009927E3" w:rsidRPr="009927E3">
        <w:rPr>
          <w:rFonts w:eastAsia="Times New Roman"/>
          <w:sz w:val="21"/>
          <w:szCs w:val="21"/>
        </w:rPr>
        <w:t xml:space="preserve"> </w:t>
      </w:r>
      <w:r w:rsidR="009927E3" w:rsidRPr="004B1E0D">
        <w:rPr>
          <w:rFonts w:eastAsia="Times New Roman"/>
          <w:sz w:val="21"/>
          <w:szCs w:val="21"/>
        </w:rPr>
        <w:t>a</w:t>
      </w:r>
      <w:proofErr w:type="gramEnd"/>
      <w:r w:rsidR="009927E3" w:rsidRPr="004B1E0D">
        <w:rPr>
          <w:rFonts w:eastAsia="Times New Roman"/>
          <w:sz w:val="21"/>
          <w:szCs w:val="21"/>
        </w:rPr>
        <w:t xml:space="preserve"> na základě usnesení vydaného Městským soudem v</w:t>
      </w:r>
      <w:r w:rsidR="009927E3">
        <w:rPr>
          <w:rFonts w:eastAsia="Times New Roman"/>
          <w:sz w:val="21"/>
          <w:szCs w:val="21"/>
        </w:rPr>
        <w:t> </w:t>
      </w:r>
      <w:r w:rsidR="009927E3" w:rsidRPr="004B1E0D">
        <w:rPr>
          <w:rFonts w:eastAsia="Times New Roman"/>
          <w:sz w:val="21"/>
          <w:szCs w:val="21"/>
        </w:rPr>
        <w:t>Praze</w:t>
      </w:r>
      <w:r w:rsidR="009927E3">
        <w:rPr>
          <w:rFonts w:eastAsia="Times New Roman"/>
          <w:sz w:val="21"/>
          <w:szCs w:val="21"/>
        </w:rPr>
        <w:t xml:space="preserve"> </w:t>
      </w:r>
      <w:r w:rsidR="009927E3" w:rsidRPr="004B1E0D">
        <w:rPr>
          <w:rFonts w:eastAsia="Times New Roman"/>
          <w:sz w:val="21"/>
          <w:szCs w:val="21"/>
        </w:rPr>
        <w:t xml:space="preserve"> dne 7.9.2021, č.j. MSPH 92 INS 25445/2020</w:t>
      </w:r>
      <w:r w:rsidR="00E44E5E">
        <w:rPr>
          <w:rFonts w:eastAsia="Times New Roman"/>
          <w:sz w:val="21"/>
          <w:szCs w:val="21"/>
        </w:rPr>
        <w:t>-B-19</w:t>
      </w:r>
      <w:r w:rsidR="009927E3" w:rsidRPr="004B1E0D">
        <w:rPr>
          <w:rFonts w:eastAsia="Times New Roman"/>
          <w:sz w:val="21"/>
          <w:szCs w:val="21"/>
        </w:rPr>
        <w:t xml:space="preserve">, byla insolvenčním správcem ustanovena společnost </w:t>
      </w:r>
      <w:r w:rsidR="009927E3" w:rsidRPr="004B1E0D">
        <w:rPr>
          <w:rFonts w:eastAsia="Times New Roman"/>
          <w:color w:val="192038"/>
          <w:sz w:val="21"/>
          <w:szCs w:val="21"/>
          <w:shd w:val="clear" w:color="auto" w:fill="FFFFFF"/>
        </w:rPr>
        <w:t>GESTORE v.o.s.</w:t>
      </w:r>
      <w:r w:rsidR="00E44E5E">
        <w:rPr>
          <w:rFonts w:eastAsia="Times New Roman"/>
          <w:color w:val="192038"/>
          <w:sz w:val="21"/>
          <w:szCs w:val="21"/>
          <w:shd w:val="clear" w:color="auto" w:fill="FFFFFF"/>
        </w:rPr>
        <w:t xml:space="preserve"> Předmětná usnesení jsou zveřejněna v insolvenčním rejstříku.</w:t>
      </w:r>
    </w:p>
    <w:p w14:paraId="15DA1FAC" w14:textId="77777777" w:rsidR="000E4CAE" w:rsidRDefault="00EF0D66">
      <w:pPr>
        <w:numPr>
          <w:ilvl w:val="0"/>
          <w:numId w:val="2"/>
        </w:numPr>
        <w:tabs>
          <w:tab w:val="clear" w:pos="360"/>
          <w:tab w:val="num" w:pos="720"/>
        </w:tabs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Prodávající prohlašuje, že dnem prohlášení konkursu na majetek dlužníka na něj přešlo oprávnění nakládat s předmětem prodeje, a to v souladu s ustanovením § 246 odst. 1 zákona č. 182/2006 Sb., o úpadku a způsobech jeho řešení (dále jen „IZ“). Prodávající je tak osobou, která je oprávněna s předmětem prodeje disponovat a je na základě zvláštního právního předpisu oprávněna předmět prodeje zcizit.</w:t>
      </w:r>
    </w:p>
    <w:p w14:paraId="6BFDC75F" w14:textId="77777777" w:rsidR="000E4CAE" w:rsidRDefault="00EF0D66">
      <w:pPr>
        <w:numPr>
          <w:ilvl w:val="0"/>
          <w:numId w:val="2"/>
        </w:numPr>
        <w:tabs>
          <w:tab w:val="clear" w:pos="360"/>
          <w:tab w:val="num" w:pos="720"/>
        </w:tabs>
        <w:spacing w:after="24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Prodávající jakožto insolvenční správce dlužníka sepsal do majetkové podstaty dlužníka následující věci nemovité, a to:   </w:t>
      </w:r>
    </w:p>
    <w:p w14:paraId="01D68911" w14:textId="77777777" w:rsidR="000E4CAE" w:rsidRDefault="00EF0D66">
      <w:pPr>
        <w:pStyle w:val="Odstavecseseznamem"/>
        <w:numPr>
          <w:ilvl w:val="0"/>
          <w:numId w:val="4"/>
        </w:numPr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pozemek p. č. 605/10 – zastavěná plocha a nádvoří, evidovaná výměra 130 m2</w:t>
      </w:r>
    </w:p>
    <w:p w14:paraId="1E5506E7" w14:textId="77777777" w:rsidR="000E4CAE" w:rsidRDefault="00EF0D66">
      <w:pPr>
        <w:ind w:left="72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Součástí je stavba: Vokovice, bez č.p./</w:t>
      </w:r>
      <w:proofErr w:type="spellStart"/>
      <w:r>
        <w:rPr>
          <w:rFonts w:eastAsia="Times New Roman"/>
          <w:sz w:val="21"/>
          <w:szCs w:val="21"/>
        </w:rPr>
        <w:t>č.e</w:t>
      </w:r>
      <w:proofErr w:type="spellEnd"/>
      <w:r>
        <w:rPr>
          <w:rFonts w:eastAsia="Times New Roman"/>
          <w:sz w:val="21"/>
          <w:szCs w:val="21"/>
        </w:rPr>
        <w:t xml:space="preserve">., </w:t>
      </w:r>
      <w:proofErr w:type="spellStart"/>
      <w:r>
        <w:rPr>
          <w:rFonts w:eastAsia="Times New Roman"/>
          <w:sz w:val="21"/>
          <w:szCs w:val="21"/>
        </w:rPr>
        <w:t>obč</w:t>
      </w:r>
      <w:proofErr w:type="spellEnd"/>
      <w:r>
        <w:rPr>
          <w:rFonts w:eastAsia="Times New Roman"/>
          <w:sz w:val="21"/>
          <w:szCs w:val="21"/>
        </w:rPr>
        <w:t xml:space="preserve">. </w:t>
      </w:r>
      <w:proofErr w:type="spellStart"/>
      <w:r>
        <w:rPr>
          <w:rFonts w:eastAsia="Times New Roman"/>
          <w:sz w:val="21"/>
          <w:szCs w:val="21"/>
        </w:rPr>
        <w:t>vyb</w:t>
      </w:r>
      <w:proofErr w:type="spellEnd"/>
      <w:r>
        <w:rPr>
          <w:rFonts w:eastAsia="Times New Roman"/>
          <w:sz w:val="21"/>
          <w:szCs w:val="21"/>
        </w:rPr>
        <w:t>.</w:t>
      </w:r>
    </w:p>
    <w:p w14:paraId="3EF68876" w14:textId="77777777" w:rsidR="000E4CAE" w:rsidRDefault="00EF0D66">
      <w:pPr>
        <w:ind w:left="72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Stavba stojí na pozemku </w:t>
      </w:r>
      <w:proofErr w:type="spellStart"/>
      <w:r>
        <w:rPr>
          <w:rFonts w:eastAsia="Times New Roman"/>
          <w:sz w:val="21"/>
          <w:szCs w:val="21"/>
        </w:rPr>
        <w:t>p.č</w:t>
      </w:r>
      <w:proofErr w:type="spellEnd"/>
      <w:r>
        <w:rPr>
          <w:rFonts w:eastAsia="Times New Roman"/>
          <w:sz w:val="21"/>
          <w:szCs w:val="21"/>
        </w:rPr>
        <w:t>.:  605/10,</w:t>
      </w:r>
    </w:p>
    <w:p w14:paraId="12DDFEB9" w14:textId="77777777" w:rsidR="000E4CAE" w:rsidRDefault="00EF0D66">
      <w:pPr>
        <w:pStyle w:val="Odstavecseseznamem"/>
        <w:numPr>
          <w:ilvl w:val="0"/>
          <w:numId w:val="4"/>
        </w:numPr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pozemek p. č. 605/12 – zastavěná plocha a nádvoří, evidovaná výměra 283 m2</w:t>
      </w:r>
    </w:p>
    <w:p w14:paraId="6981A93D" w14:textId="77777777" w:rsidR="000E4CAE" w:rsidRDefault="00EF0D66">
      <w:pPr>
        <w:ind w:left="72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Součástí je stavba: Vokovice, bez č.p./</w:t>
      </w:r>
      <w:proofErr w:type="spellStart"/>
      <w:r>
        <w:rPr>
          <w:rFonts w:eastAsia="Times New Roman"/>
          <w:sz w:val="21"/>
          <w:szCs w:val="21"/>
        </w:rPr>
        <w:t>č.e</w:t>
      </w:r>
      <w:proofErr w:type="spellEnd"/>
      <w:r>
        <w:rPr>
          <w:rFonts w:eastAsia="Times New Roman"/>
          <w:sz w:val="21"/>
          <w:szCs w:val="21"/>
        </w:rPr>
        <w:t xml:space="preserve">., </w:t>
      </w:r>
      <w:proofErr w:type="spellStart"/>
      <w:r>
        <w:rPr>
          <w:rFonts w:eastAsia="Times New Roman"/>
          <w:sz w:val="21"/>
          <w:szCs w:val="21"/>
        </w:rPr>
        <w:t>obč</w:t>
      </w:r>
      <w:proofErr w:type="spellEnd"/>
      <w:r>
        <w:rPr>
          <w:rFonts w:eastAsia="Times New Roman"/>
          <w:sz w:val="21"/>
          <w:szCs w:val="21"/>
        </w:rPr>
        <w:t xml:space="preserve">. </w:t>
      </w:r>
      <w:proofErr w:type="spellStart"/>
      <w:r>
        <w:rPr>
          <w:rFonts w:eastAsia="Times New Roman"/>
          <w:sz w:val="21"/>
          <w:szCs w:val="21"/>
        </w:rPr>
        <w:t>vyb</w:t>
      </w:r>
      <w:proofErr w:type="spellEnd"/>
      <w:r>
        <w:rPr>
          <w:rFonts w:eastAsia="Times New Roman"/>
          <w:sz w:val="21"/>
          <w:szCs w:val="21"/>
        </w:rPr>
        <w:t>.</w:t>
      </w:r>
    </w:p>
    <w:p w14:paraId="2E46858B" w14:textId="77777777" w:rsidR="000E4CAE" w:rsidRDefault="00EF0D66">
      <w:pPr>
        <w:ind w:left="72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Stavba stojí na pozemku </w:t>
      </w:r>
      <w:proofErr w:type="spellStart"/>
      <w:r>
        <w:rPr>
          <w:rFonts w:eastAsia="Times New Roman"/>
          <w:sz w:val="21"/>
          <w:szCs w:val="21"/>
        </w:rPr>
        <w:t>p.č</w:t>
      </w:r>
      <w:proofErr w:type="spellEnd"/>
      <w:r>
        <w:rPr>
          <w:rFonts w:eastAsia="Times New Roman"/>
          <w:sz w:val="21"/>
          <w:szCs w:val="21"/>
        </w:rPr>
        <w:t>.:  605/12,</w:t>
      </w:r>
    </w:p>
    <w:p w14:paraId="627DED0D" w14:textId="77777777" w:rsidR="000E4CAE" w:rsidRDefault="00EF0D66">
      <w:pPr>
        <w:pStyle w:val="Odstavecseseznamem"/>
        <w:numPr>
          <w:ilvl w:val="0"/>
          <w:numId w:val="4"/>
        </w:numPr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pozemek p. č. 605/48 – ostatní plocha, evidovaná výměra 1864 m2, způsob využití – jiná plocha</w:t>
      </w:r>
    </w:p>
    <w:p w14:paraId="13FBF779" w14:textId="77777777" w:rsidR="000E4CAE" w:rsidRDefault="00EF0D66">
      <w:pPr>
        <w:spacing w:before="240"/>
        <w:ind w:left="720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vše zapsáno v katastru nemovitostí u Katastrálního úřadu pro hlavní město Prahu, Katastrální pracoviště Praha, obec Praha (okres Hlavní město Praha), katastrální území </w:t>
      </w:r>
      <w:r>
        <w:rPr>
          <w:rFonts w:eastAsia="Times New Roman"/>
          <w:b/>
          <w:bCs/>
          <w:sz w:val="21"/>
          <w:szCs w:val="21"/>
        </w:rPr>
        <w:t>Vokovice</w:t>
      </w:r>
      <w:r>
        <w:rPr>
          <w:rFonts w:eastAsia="Times New Roman"/>
          <w:sz w:val="21"/>
          <w:szCs w:val="21"/>
        </w:rPr>
        <w:t xml:space="preserve"> na LV 5805.</w:t>
      </w:r>
    </w:p>
    <w:p w14:paraId="44519813" w14:textId="77777777" w:rsidR="000E4CAE" w:rsidRDefault="00EF0D66">
      <w:pPr>
        <w:spacing w:before="100" w:beforeAutospacing="1" w:after="100" w:afterAutospacing="1"/>
        <w:ind w:left="720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(dále jen „</w:t>
      </w:r>
      <w:r>
        <w:rPr>
          <w:rStyle w:val="Zdraznn"/>
          <w:rFonts w:eastAsia="Times New Roman"/>
          <w:sz w:val="21"/>
          <w:szCs w:val="21"/>
        </w:rPr>
        <w:t>předmětné věci nemovité</w:t>
      </w:r>
      <w:r>
        <w:rPr>
          <w:rFonts w:eastAsia="Times New Roman"/>
          <w:sz w:val="21"/>
          <w:szCs w:val="21"/>
        </w:rPr>
        <w:t>“ nebo také „</w:t>
      </w:r>
      <w:r>
        <w:rPr>
          <w:rStyle w:val="Zdraznn"/>
          <w:rFonts w:eastAsia="Times New Roman"/>
          <w:sz w:val="21"/>
          <w:szCs w:val="21"/>
        </w:rPr>
        <w:t>předmět koupě</w:t>
      </w:r>
      <w:r>
        <w:rPr>
          <w:rFonts w:eastAsia="Times New Roman"/>
          <w:sz w:val="21"/>
          <w:szCs w:val="21"/>
        </w:rPr>
        <w:t>“)</w:t>
      </w:r>
    </w:p>
    <w:p w14:paraId="0943F6CF" w14:textId="6FC93A8C" w:rsidR="000E4CAE" w:rsidRDefault="00EF0D66">
      <w:pPr>
        <w:numPr>
          <w:ilvl w:val="0"/>
          <w:numId w:val="2"/>
        </w:numPr>
        <w:tabs>
          <w:tab w:val="clear" w:pos="360"/>
          <w:tab w:val="num" w:pos="720"/>
        </w:tabs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lastRenderedPageBreak/>
        <w:t>Prodávající je oprávněn v souladu s ustanovením § 293 IZ na základě pokynu zajištěného věřitele </w:t>
      </w:r>
      <w:proofErr w:type="spellStart"/>
      <w:r w:rsidR="003C1273">
        <w:rPr>
          <w:rFonts w:eastAsia="Times New Roman"/>
          <w:sz w:val="21"/>
          <w:szCs w:val="21"/>
        </w:rPr>
        <w:t>Forderungen</w:t>
      </w:r>
      <w:proofErr w:type="spellEnd"/>
      <w:r>
        <w:rPr>
          <w:rFonts w:eastAsia="Times New Roman"/>
          <w:sz w:val="21"/>
          <w:szCs w:val="21"/>
        </w:rPr>
        <w:t>, a.s. zpeněžit předmět prodeje mimo dražbu.</w:t>
      </w:r>
    </w:p>
    <w:p w14:paraId="0F6017E1" w14:textId="77777777" w:rsidR="000E4CAE" w:rsidRDefault="00EF0D66">
      <w:pPr>
        <w:numPr>
          <w:ilvl w:val="0"/>
          <w:numId w:val="2"/>
        </w:numPr>
        <w:tabs>
          <w:tab w:val="clear" w:pos="360"/>
          <w:tab w:val="num" w:pos="720"/>
        </w:tabs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Kupující prohlašuje, že shora uvedená prohlášení prodávajícího o věcném a právním stavu předmětu prodeje, jakož i o průběhu insolvenčního řízení vedeného na dlužníka, bere na vědomí a považuje je pro účely této smlouvy mezi účastníky za nesporné.</w:t>
      </w:r>
    </w:p>
    <w:p w14:paraId="7480BA73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II.</w:t>
      </w:r>
      <w:r>
        <w:rPr>
          <w:sz w:val="21"/>
          <w:szCs w:val="21"/>
          <w:u w:val="single"/>
        </w:rPr>
        <w:t xml:space="preserve"> </w:t>
      </w:r>
      <w:r>
        <w:rPr>
          <w:rStyle w:val="Siln"/>
          <w:sz w:val="21"/>
          <w:szCs w:val="21"/>
          <w:u w:val="single"/>
        </w:rPr>
        <w:t>Předmět kupní smlouvy</w:t>
      </w:r>
    </w:p>
    <w:p w14:paraId="3620D84D" w14:textId="71C2A149" w:rsidR="000E4CAE" w:rsidRPr="00B945D2" w:rsidRDefault="00EF0D66" w:rsidP="00B945D2">
      <w:pPr>
        <w:numPr>
          <w:ilvl w:val="0"/>
          <w:numId w:val="6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Prodávající prodává touto smlouvou předmětné věci nemovité specifikované v čl. I. této smlouvy se všemi jejich součástmi a příslušenstvím, včetně všech práv a povinností, </w:t>
      </w:r>
      <w:r>
        <w:rPr>
          <w:rFonts w:eastAsia="Times New Roman"/>
          <w:color w:val="192038"/>
          <w:sz w:val="21"/>
          <w:szCs w:val="21"/>
          <w:shd w:val="clear" w:color="auto" w:fill="FFFFFF"/>
        </w:rPr>
        <w:t>do výlučného vlastnictví kupujícího za vzájemně ujednanou kupní cenu stanovenou v čl. IV. této smlouvy a kupující předmětné věci nemovité specifikované v čl. I. této smlouvy se všemi jejich součástmi a příslušenstvím, do svého výlučného vlastnictví přijímá.</w:t>
      </w:r>
      <w:r>
        <w:rPr>
          <w:rFonts w:eastAsia="Times New Roman"/>
          <w:sz w:val="21"/>
          <w:szCs w:val="21"/>
        </w:rPr>
        <w:t xml:space="preserve"> </w:t>
      </w:r>
    </w:p>
    <w:p w14:paraId="2516C2B6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III.</w:t>
      </w:r>
      <w:r>
        <w:rPr>
          <w:sz w:val="21"/>
          <w:szCs w:val="21"/>
          <w:u w:val="single"/>
        </w:rPr>
        <w:t xml:space="preserve"> </w:t>
      </w:r>
      <w:r>
        <w:rPr>
          <w:rStyle w:val="Siln"/>
          <w:sz w:val="21"/>
          <w:szCs w:val="21"/>
          <w:u w:val="single"/>
        </w:rPr>
        <w:t>Prohlášení prodávajícího a kupujícího</w:t>
      </w:r>
    </w:p>
    <w:p w14:paraId="7538978E" w14:textId="77777777" w:rsidR="000E4CAE" w:rsidRDefault="00EF0D66">
      <w:pPr>
        <w:numPr>
          <w:ilvl w:val="0"/>
          <w:numId w:val="8"/>
        </w:numPr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Prodávající prohlašuje, že v době od uzavření této smlouvy do doby vkladu vlastnického práva kupujícího do katastru nemovitostí předmět prodeje žádnými zástavními právy, věcnými břemeny, ani nájemními právy nezatíží.</w:t>
      </w:r>
    </w:p>
    <w:p w14:paraId="171B21D1" w14:textId="77777777" w:rsidR="000E4CAE" w:rsidRDefault="00EF0D66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>Prodávající prohlašuje, že zástavní práva v souladu s ustanovením § 167 odst. 4 IZ zanikají zpeněžením předmětu prodeje. Prodávající prohlašuje, že účinky nařízení výkonu rozhodnutí nebo exekuce, účinky doručení vyrozumění o zahájení exekuce a účinky vydaných exekučních příkazů, ostatní závady váznoucí na zpeněžovaném majetku, včetně neuplatněných předkupních práv podle § 284 odst. 3 a 4 IZ a včetně závad zapsaných ve veřejném seznamu, v souladu s ustanovením § 285 odst. 1 IZ zanikají také zpeněžením předmětu prodeje.</w:t>
      </w:r>
    </w:p>
    <w:p w14:paraId="4FFA5EA3" w14:textId="5910292D" w:rsidR="000E4CAE" w:rsidRPr="00B945D2" w:rsidRDefault="00EF0D66" w:rsidP="00B945D2">
      <w:pPr>
        <w:numPr>
          <w:ilvl w:val="0"/>
          <w:numId w:val="8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Kupující prohlašuje, že se seznámil s právním i faktickým stavem předmětu prodeje, s jeho umístěním, že mu jsou známy hranice pozemků, a že takto předmět prodeje včetně všech jeho součástí kupuje za dohodnutou kupní cenu.</w:t>
      </w:r>
    </w:p>
    <w:p w14:paraId="530D7AB1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IV. Kupní cena</w:t>
      </w:r>
    </w:p>
    <w:p w14:paraId="4728AC38" w14:textId="77777777" w:rsidR="000E4CAE" w:rsidRDefault="00EF0D66">
      <w:pPr>
        <w:numPr>
          <w:ilvl w:val="0"/>
          <w:numId w:val="10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 xml:space="preserve">Kupní cena za předmět prodeje specifikovaný v čl. I. odst. 3 této smlouvy činí částku celkem ve výši </w:t>
      </w:r>
      <w:r>
        <w:rPr>
          <w:rFonts w:eastAsia="Times New Roman"/>
          <w:sz w:val="21"/>
          <w:szCs w:val="21"/>
          <w:shd w:val="clear" w:color="auto" w:fill="FFC000"/>
        </w:rPr>
        <w:t>......................................</w:t>
      </w:r>
      <w:r>
        <w:rPr>
          <w:b/>
          <w:bCs/>
        </w:rPr>
        <w:t xml:space="preserve"> </w:t>
      </w:r>
      <w:r>
        <w:rPr>
          <w:rStyle w:val="Siln"/>
          <w:rFonts w:eastAsia="Times New Roman"/>
          <w:sz w:val="21"/>
          <w:szCs w:val="21"/>
        </w:rPr>
        <w:t>Kč</w:t>
      </w:r>
      <w:r>
        <w:rPr>
          <w:rFonts w:eastAsia="Times New Roman"/>
          <w:sz w:val="21"/>
          <w:szCs w:val="21"/>
        </w:rPr>
        <w:t xml:space="preserve"> (slovy: </w:t>
      </w:r>
      <w:r>
        <w:rPr>
          <w:rFonts w:eastAsia="Times New Roman"/>
          <w:sz w:val="21"/>
          <w:szCs w:val="21"/>
          <w:shd w:val="clear" w:color="auto" w:fill="FFC000"/>
        </w:rPr>
        <w:t>…………………….</w:t>
      </w:r>
      <w:r>
        <w:rPr>
          <w:rFonts w:eastAsia="Times New Roman"/>
          <w:sz w:val="21"/>
          <w:szCs w:val="21"/>
        </w:rPr>
        <w:t xml:space="preserve"> korun českých). </w:t>
      </w:r>
      <w:r>
        <w:rPr>
          <w:rFonts w:eastAsia="Times New Roman"/>
          <w:color w:val="192038"/>
          <w:sz w:val="21"/>
          <w:szCs w:val="21"/>
          <w:shd w:val="clear" w:color="auto" w:fill="FFFFFF"/>
        </w:rPr>
        <w:t>Kupní cena se v mezidobí ode dne podpisu smlouvy do předání a převzetí předmětu prodeje a vkladu vlastnického práva do katastru nemovitostí nemění. Rovněž z ní nejsou přípustné žádné slevy, ani jiná snížení dodatečně požadovaná kupujícím.</w:t>
      </w:r>
      <w:r>
        <w:rPr>
          <w:rFonts w:eastAsia="Times New Roman"/>
          <w:sz w:val="21"/>
          <w:szCs w:val="21"/>
        </w:rPr>
        <w:t xml:space="preserve"> </w:t>
      </w:r>
    </w:p>
    <w:p w14:paraId="7E63CAF7" w14:textId="5765531D" w:rsidR="000E4CAE" w:rsidRDefault="00EF0D66">
      <w:pPr>
        <w:numPr>
          <w:ilvl w:val="0"/>
          <w:numId w:val="10"/>
        </w:numPr>
        <w:spacing w:before="100" w:beforeAutospacing="1" w:after="100" w:afterAutospacing="1"/>
        <w:jc w:val="both"/>
        <w:rPr>
          <w:rFonts w:eastAsia="Times New Roman"/>
          <w:sz w:val="21"/>
          <w:szCs w:val="21"/>
        </w:rPr>
      </w:pPr>
      <w:r>
        <w:rPr>
          <w:rFonts w:eastAsia="Times New Roman"/>
          <w:sz w:val="21"/>
          <w:szCs w:val="21"/>
        </w:rPr>
        <w:t xml:space="preserve">Smluvní strany se dohodly na následujícím způsobu úhrady celé kupní ceny za předmětné věci nemovité takto: </w:t>
      </w:r>
      <w:r>
        <w:rPr>
          <w:sz w:val="21"/>
          <w:szCs w:val="21"/>
        </w:rPr>
        <w:t>celou sjednanou kupní cenu za předmětné věci nemovité kupující uhradil v podílu jakém nabýv</w:t>
      </w:r>
      <w:r w:rsidR="003C1273">
        <w:rPr>
          <w:sz w:val="21"/>
          <w:szCs w:val="21"/>
        </w:rPr>
        <w:t xml:space="preserve">á </w:t>
      </w:r>
      <w:r>
        <w:rPr>
          <w:sz w:val="21"/>
          <w:szCs w:val="21"/>
        </w:rPr>
        <w:t xml:space="preserve">tak, že ji před podpisem kupní smlouvy složil na účet dražební společnosti PROKONZULTA, a.s., číslo účtu: </w:t>
      </w:r>
      <w:r>
        <w:rPr>
          <w:color w:val="192038"/>
          <w:sz w:val="21"/>
          <w:szCs w:val="21"/>
          <w:shd w:val="clear" w:color="auto" w:fill="FFFFFF"/>
        </w:rPr>
        <w:t>4211125741/6800.</w:t>
      </w:r>
    </w:p>
    <w:p w14:paraId="556E51C7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V. Řízení o povolení vkladu vlastnického práva </w:t>
      </w:r>
    </w:p>
    <w:p w14:paraId="04441670" w14:textId="77777777" w:rsidR="000E4CAE" w:rsidRDefault="00EF0D66">
      <w:pPr>
        <w:numPr>
          <w:ilvl w:val="0"/>
          <w:numId w:val="12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Vlastnické právo a veškerá práva a povinnosti spojené s vlastnictvím předmětu prodeje přejdou na kupujícího dnem vkladu vlastnického práva do katastru nemovitostí. Do této doby jsou účastníci této smlouvy vázáni závazky z ní vyplývajícími.</w:t>
      </w:r>
    </w:p>
    <w:p w14:paraId="431D83AE" w14:textId="77777777" w:rsidR="000E4CAE" w:rsidRDefault="00EF0D66">
      <w:pPr>
        <w:numPr>
          <w:ilvl w:val="0"/>
          <w:numId w:val="12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Účastníci této smlouvy žádají, aby právní vztahy touto smlouvou založené byly vyznačeny v katastru nemovitostí u Katastrální úřad pro hlavní město Prahu se sídlem v Praze, KP Katastrální pracoviště Praha. Smluvní strany si poskytnou vzájemnou součinnost k zápisu vlastnického práva kupujícího do katastru nemovitostí.</w:t>
      </w:r>
    </w:p>
    <w:p w14:paraId="5E517E81" w14:textId="77777777" w:rsidR="000E4CAE" w:rsidRDefault="00EF0D66">
      <w:pPr>
        <w:numPr>
          <w:ilvl w:val="0"/>
          <w:numId w:val="12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Návrh na zahájení řízení o povolení vkladu vlastnického práva kupujícího do katastru nemovitostí ke Katastrální úřad pro hlavní město Prahu se sídlem v Praze, KP Katastrální pracoviště Praha je povinen podat a podepsat kupující, a to do pěti pracovních dnů po nabytí účinnosti této smlouvy, </w:t>
      </w:r>
      <w:r>
        <w:rPr>
          <w:rFonts w:eastAsia="Times New Roman"/>
          <w:color w:val="192038"/>
          <w:sz w:val="21"/>
          <w:szCs w:val="21"/>
          <w:shd w:val="clear" w:color="auto" w:fill="FFFFFF"/>
        </w:rPr>
        <w:t>přičemž správní poplatek s ním spojený uhradí kupující z vlastních prostředků nad rámcem sjednané kupní ceny.</w:t>
      </w:r>
    </w:p>
    <w:p w14:paraId="78AB382B" w14:textId="00F13982" w:rsidR="000E4CAE" w:rsidRPr="00B945D2" w:rsidRDefault="00EF0D66" w:rsidP="00B945D2">
      <w:pPr>
        <w:numPr>
          <w:ilvl w:val="0"/>
          <w:numId w:val="12"/>
        </w:numPr>
        <w:tabs>
          <w:tab w:val="num" w:pos="720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 xml:space="preserve">Pokud by došlo z jakéhokoli důvodu k zastavení řízení o povolení vkladu vlastnického práva kupujícího na základě této smlouvy či k zamítnutí návrhu na vklad vlastnického práva kupujícího do katastru nemovitostí, zavazují se účastníci této smlouvy do 20 dnů od právní moci rozhodnutí o zastavení řízení či zamítnutí návrhu na vklad uzavřít novou kupní smlouvu se stejným obsahem, tj. zejména se shodným předmětem prodeje a kupní </w:t>
      </w:r>
      <w:r>
        <w:rPr>
          <w:rFonts w:eastAsia="Times New Roman"/>
          <w:sz w:val="21"/>
          <w:szCs w:val="21"/>
        </w:rPr>
        <w:lastRenderedPageBreak/>
        <w:t>cenou a s odstraněním případných nedostatků, které vedly k zastavení řízení o povolení vkladu či k zamítnutí návrhu na vklad.</w:t>
      </w:r>
    </w:p>
    <w:p w14:paraId="5B96C8EC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VI. Nebezpečí škody a předání předmětu prodeje</w:t>
      </w:r>
    </w:p>
    <w:p w14:paraId="42A6F6F4" w14:textId="77777777" w:rsidR="000E4CAE" w:rsidRDefault="00EF0D66">
      <w:pPr>
        <w:numPr>
          <w:ilvl w:val="0"/>
          <w:numId w:val="14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Nebezpečí škody na předmětu prodeje přechází na kupujícího okamžikem vkladu vlastnického práva kupujícího do katastru nemovitostí nebo okamžikem předání předmětu prodeje, přičemž rozhodující je dřívější z těchto událostí.</w:t>
      </w:r>
    </w:p>
    <w:p w14:paraId="1A5CB3BA" w14:textId="77777777" w:rsidR="000E4CAE" w:rsidRDefault="00EF0D66">
      <w:pPr>
        <w:numPr>
          <w:ilvl w:val="0"/>
          <w:numId w:val="14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Předání a převzetí předmětu prodeje bude uskutečněno nejpozději do 10 dnů ode dne provedení vkladu vlastnického práva ve prospěch kupujícího, a to na základě písemného předávacího protokolu. Kupující se zavazuje, že ode dne převzetí předmětu prodeje bude hradit veškeré náklady spojené s jeho užíváním. </w:t>
      </w:r>
    </w:p>
    <w:p w14:paraId="7167AC2D" w14:textId="77777777" w:rsidR="000E4CAE" w:rsidRDefault="00EF0D66">
      <w:pPr>
        <w:numPr>
          <w:ilvl w:val="0"/>
          <w:numId w:val="14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 xml:space="preserve">Dle </w:t>
      </w:r>
      <w:proofErr w:type="spellStart"/>
      <w:r>
        <w:rPr>
          <w:rFonts w:eastAsia="Times New Roman"/>
          <w:sz w:val="21"/>
          <w:szCs w:val="21"/>
        </w:rPr>
        <w:t>ust</w:t>
      </w:r>
      <w:proofErr w:type="spellEnd"/>
      <w:r>
        <w:rPr>
          <w:rFonts w:eastAsia="Times New Roman"/>
          <w:sz w:val="21"/>
          <w:szCs w:val="21"/>
        </w:rPr>
        <w:t>. § 285 odst. 2 IZ je dlužník povinen předmět prodeje vyklidit. Neučiní-li tak dobrovolně, může se kupující domáhat vyklizení žalobou u soudu. Veškeré náklady spojené s převzetím předmětu prodeje a jeho vyklizením hradí kupující ze svých výlučných prostředků nad rámec kupní ceny.</w:t>
      </w:r>
    </w:p>
    <w:p w14:paraId="314530BC" w14:textId="77777777" w:rsidR="000E4CAE" w:rsidRDefault="00EF0D66">
      <w:pPr>
        <w:numPr>
          <w:ilvl w:val="0"/>
          <w:numId w:val="14"/>
        </w:numPr>
        <w:tabs>
          <w:tab w:val="num" w:pos="720"/>
        </w:tabs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Kupující není oprávněn do dne povolení vkladu vlastnického práva do katastru nemovitostí předmět prodeje zcizit ani zatížit takovými právy či věcnými břemeny, která by v případě zmaření účelu této smlouvy nešla neprodleně zrušit.</w:t>
      </w:r>
    </w:p>
    <w:p w14:paraId="466B75D6" w14:textId="77777777" w:rsidR="000E4CAE" w:rsidRDefault="00EF0D66">
      <w:pPr>
        <w:numPr>
          <w:ilvl w:val="0"/>
          <w:numId w:val="14"/>
        </w:numPr>
        <w:tabs>
          <w:tab w:val="num" w:pos="720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V případě, že kupující či prodávající od této smlouvy platně odstoupí, zavazuje se kupující ke dni vrácení kupní ceny předmět prodeje, který v souladu s touto smlouvou užíval, předat prodávajícímu a za dobu užívání mu zaplatit úhradu ve výši obvyklého nájemného.</w:t>
      </w:r>
    </w:p>
    <w:p w14:paraId="23946EE8" w14:textId="77777777" w:rsidR="000E4CAE" w:rsidRDefault="00EF0D66" w:rsidP="00B945D2">
      <w:pPr>
        <w:pStyle w:val="Bezmezer"/>
      </w:pPr>
      <w:r>
        <w:t> </w:t>
      </w:r>
    </w:p>
    <w:p w14:paraId="106F7DCB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VII. Potvrzení o zániku zajišťovacích práv</w:t>
      </w:r>
    </w:p>
    <w:p w14:paraId="2039A17A" w14:textId="77777777" w:rsidR="000E4CAE" w:rsidRDefault="00EF0D66">
      <w:pPr>
        <w:numPr>
          <w:ilvl w:val="0"/>
          <w:numId w:val="16"/>
        </w:numPr>
        <w:tabs>
          <w:tab w:val="num" w:pos="720"/>
        </w:tabs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Zpeněžením majetkové podstaty dlužníka, tedy prodejem převáděné věci nemovité insolvenčním správcem, ve smyslu ustanovení § 167 odst. 4. a § 285 odst. 1. písm. b) zákona č. 182/2006 Sb., insolvenční zákon, zanikla veškerá zajištění a veškeré ostatní závady váznoucí na zpeněženém majetku.</w:t>
      </w:r>
    </w:p>
    <w:p w14:paraId="5DF478CB" w14:textId="77777777" w:rsidR="000E4CAE" w:rsidRDefault="00EF0D66">
      <w:pPr>
        <w:pStyle w:val="Normlnweb"/>
        <w:jc w:val="center"/>
      </w:pPr>
      <w:r>
        <w:rPr>
          <w:rStyle w:val="Siln"/>
          <w:sz w:val="21"/>
          <w:szCs w:val="21"/>
          <w:u w:val="single"/>
        </w:rPr>
        <w:t>VIII. Závěrečná ustanovení</w:t>
      </w:r>
    </w:p>
    <w:p w14:paraId="06CAFBC9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Tato kupní smlouva nabývá platnosti, jakož i účinnosti dnem jejího uzavření.</w:t>
      </w:r>
    </w:p>
    <w:p w14:paraId="342A010C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 w:after="240"/>
        <w:rPr>
          <w:rFonts w:eastAsia="Times New Roman"/>
        </w:rPr>
      </w:pPr>
      <w:r>
        <w:rPr>
          <w:rFonts w:eastAsia="Times New Roman"/>
          <w:sz w:val="21"/>
          <w:szCs w:val="21"/>
        </w:rPr>
        <w:t>Smluvní strany tímto souhlasně prohlašují, že v souvislosti s převodem vlastnického práva k předmětu prodeje na základě této smlouvy mimo ta ujednání, která jsou výslovně uvedena v textu této smlouvy výše, mezi sebou neujednaly ústně ani jinou formou zejména:</w:t>
      </w:r>
      <w:r>
        <w:rPr>
          <w:rFonts w:eastAsia="Times New Roman"/>
          <w:sz w:val="21"/>
          <w:szCs w:val="21"/>
        </w:rPr>
        <w:br/>
      </w:r>
      <w:r>
        <w:rPr>
          <w:rFonts w:eastAsia="Times New Roman"/>
          <w:sz w:val="21"/>
          <w:szCs w:val="21"/>
        </w:rPr>
        <w:br/>
        <w:t>a) výhradu vlastnického práva,</w:t>
      </w:r>
      <w:r>
        <w:rPr>
          <w:rFonts w:eastAsia="Times New Roman"/>
          <w:sz w:val="21"/>
          <w:szCs w:val="21"/>
        </w:rPr>
        <w:br/>
        <w:t>b) právo zpětné koupě,</w:t>
      </w:r>
      <w:r>
        <w:rPr>
          <w:rFonts w:eastAsia="Times New Roman"/>
          <w:sz w:val="21"/>
          <w:szCs w:val="21"/>
        </w:rPr>
        <w:br/>
        <w:t>c) zákaz zcizení nebo zatížení,</w:t>
      </w:r>
      <w:r>
        <w:rPr>
          <w:rFonts w:eastAsia="Times New Roman"/>
          <w:sz w:val="21"/>
          <w:szCs w:val="21"/>
        </w:rPr>
        <w:br/>
        <w:t>d) výhradu předkupního práva,</w:t>
      </w:r>
      <w:r>
        <w:rPr>
          <w:rFonts w:eastAsia="Times New Roman"/>
          <w:sz w:val="21"/>
          <w:szCs w:val="21"/>
        </w:rPr>
        <w:br/>
        <w:t>e) právo lepšího kupce,</w:t>
      </w:r>
      <w:r>
        <w:rPr>
          <w:rFonts w:eastAsia="Times New Roman"/>
          <w:sz w:val="21"/>
          <w:szCs w:val="21"/>
        </w:rPr>
        <w:br/>
        <w:t>f) právo koupě na zkoušku,</w:t>
      </w:r>
      <w:r>
        <w:rPr>
          <w:rFonts w:eastAsia="Times New Roman"/>
          <w:sz w:val="21"/>
          <w:szCs w:val="21"/>
        </w:rPr>
        <w:br/>
        <w:t>g) ani jakékoli výhrady či podmínky připouštějící změnu nebo zánik práv a povinností z této smlouvy,</w:t>
      </w:r>
      <w:r>
        <w:rPr>
          <w:rFonts w:eastAsia="Times New Roman"/>
          <w:sz w:val="21"/>
          <w:szCs w:val="21"/>
        </w:rPr>
        <w:br/>
        <w:t>h) nebo jakákoli jiná vedlejší ujednání (např. ujednání o smluvní pokutě).</w:t>
      </w:r>
      <w:r>
        <w:rPr>
          <w:rFonts w:eastAsia="Times New Roman"/>
          <w:sz w:val="21"/>
          <w:szCs w:val="21"/>
        </w:rPr>
        <w:br/>
      </w:r>
      <w:r>
        <w:rPr>
          <w:rFonts w:eastAsia="Times New Roman"/>
          <w:sz w:val="21"/>
          <w:szCs w:val="21"/>
        </w:rPr>
        <w:br/>
        <w:t>Smluvní strany v dané souvislosti dále ujednávají, že jakákoli vedlejší ujednání při smlouvě, resp. po jejím uzavření mezi nimi musí být učiněna písemně, jinak nejsou ani platná ani účinná.</w:t>
      </w:r>
    </w:p>
    <w:p w14:paraId="4A76F796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Smluvní strany se dohodly, že ustanovení § 577 NOZ se nepoužije. Určení množstevního, časového, územního nebo jiného rozsahu v této smlouvě je pevně určeno autonomní dohodou smluvních stran a soud není oprávněn do smlouvy jakkoli zasahovat.</w:t>
      </w:r>
    </w:p>
    <w:p w14:paraId="5105013E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Smluvní strany se dohodly, že ustanovení § 2000 NOZ se také nepoužije. Smluvní strany se vzdávají práva zrušit smlouvu uzavřenou na dobu delší deseti let s ohledem na její povahu a úmysl stran být jí vázány po celou dobu jejího trvání.</w:t>
      </w:r>
    </w:p>
    <w:p w14:paraId="480D99DD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lastRenderedPageBreak/>
        <w:t>Smluvní strany se dohodly, že smlouvu nelze dále postupovat, rovněž pohledávky ze smlouvy nelze dále postoupit.</w:t>
      </w:r>
    </w:p>
    <w:p w14:paraId="4CD4942B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Smluvní strany prohlašují v souladu s ustanovením § 1765 NOZ, že na sebe převzaly nebezpečí změny okolností. Před uzavřením smlouvy strany zvážily plně hospodářskou, ekonomickou i faktickou situaci, jsou si plně vědomy okolností smlouvy a není jim známa skutečnost, která by jim znemožnila nebo výrazně omezila zejména možnost plnit závazky ze smlouvy. Smluvní strany se dohodly, že smlouvu tedy nelze měnit rozhodnutím soudu.</w:t>
      </w:r>
    </w:p>
    <w:p w14:paraId="12450A25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Kupující je důkladně seznámen se stavem předmětu prodeje a nabývá jej s vědomím, že může trpět vadami technického charakteru. Kupující dále prohlašuje, že výše kupní ceny byla smluvními stranami dohodnuta s ohledem na výše uvedené skutečnosti. Kupující proto nemá právo, z důvodu, že předmět prodeje trpí nějakou vadou, na vrácení celé nebo poměrné části zaplacené kupní ceny. Nastane-li některý z uvedených případů, nejedná se o podstatné porušení této smlouvy a není to důvodem pro odstoupení od této smlouvy.</w:t>
      </w:r>
    </w:p>
    <w:p w14:paraId="7DA2DCB8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Právní vztahy výslovně neupravené touto smlouvou se řídí obecnými ustanoveními IZ, NOZ, a právním řádem ČR.</w:t>
      </w:r>
    </w:p>
    <w:p w14:paraId="6BFA7048" w14:textId="77777777" w:rsidR="000E4CAE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</w:rPr>
      </w:pPr>
      <w:r>
        <w:rPr>
          <w:rFonts w:eastAsia="Times New Roman"/>
          <w:sz w:val="21"/>
          <w:szCs w:val="21"/>
        </w:rPr>
        <w:t>Tato smlouva obsahuje úplné ujednání o předmětu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14:paraId="01B27AAA" w14:textId="77777777" w:rsidR="000E4CAE" w:rsidRPr="00B945D2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  <w:sz w:val="21"/>
          <w:szCs w:val="21"/>
        </w:rPr>
      </w:pPr>
      <w:r w:rsidRPr="00B945D2">
        <w:rPr>
          <w:rFonts w:eastAsia="Times New Roman"/>
          <w:sz w:val="21"/>
          <w:szCs w:val="21"/>
        </w:rPr>
        <w:t>Tato smlouva může být měněna pouze písemnými dodatky podepsanými oběma smluvními stranami.</w:t>
      </w:r>
    </w:p>
    <w:p w14:paraId="37186CA7" w14:textId="77777777" w:rsidR="000E4CAE" w:rsidRPr="00B945D2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  <w:sz w:val="21"/>
          <w:szCs w:val="21"/>
        </w:rPr>
      </w:pPr>
      <w:r w:rsidRPr="00B945D2">
        <w:rPr>
          <w:rFonts w:eastAsia="Times New Roman"/>
          <w:sz w:val="21"/>
          <w:szCs w:val="21"/>
        </w:rPr>
        <w:t xml:space="preserve">Tato smlouva se vyhotovuje ve </w:t>
      </w:r>
      <w:bookmarkStart w:id="0" w:name="_Hlk13653119"/>
      <w:bookmarkEnd w:id="0"/>
      <w:r w:rsidRPr="00B945D2">
        <w:rPr>
          <w:rFonts w:eastAsia="Times New Roman"/>
          <w:sz w:val="21"/>
          <w:szCs w:val="21"/>
        </w:rPr>
        <w:t>čtyřech vyhotoveních, z nichž každá ze stran obdrží po jednom vyhotovení, jedno vyhotovení obdrží společnost PROKONZULTA, a.s., Brno, Křenová 299/26 a jedno vyhotovení bude použito pro příslušné vkladové řízení.</w:t>
      </w:r>
    </w:p>
    <w:p w14:paraId="3F0D128B" w14:textId="77777777" w:rsidR="000E4CAE" w:rsidRPr="00B945D2" w:rsidRDefault="00EF0D66">
      <w:pPr>
        <w:numPr>
          <w:ilvl w:val="0"/>
          <w:numId w:val="18"/>
        </w:numPr>
        <w:tabs>
          <w:tab w:val="num" w:pos="720"/>
        </w:tabs>
        <w:spacing w:before="100" w:beforeAutospacing="1"/>
        <w:jc w:val="both"/>
        <w:rPr>
          <w:rFonts w:eastAsia="Times New Roman"/>
          <w:sz w:val="21"/>
          <w:szCs w:val="21"/>
        </w:rPr>
      </w:pPr>
      <w:r w:rsidRPr="00B945D2">
        <w:rPr>
          <w:rFonts w:eastAsia="Times New Roman"/>
          <w:sz w:val="21"/>
          <w:szCs w:val="21"/>
        </w:rPr>
        <w:t>Smluvní strany dále prohlašují s přihlédnutím k ustanovení § 4 NOZ, kdy se má za to, že každá svéprávná osoba má rozum průměrného člověka i schopnost užívat jej s běžnou péčí a opatrností a že to každý od ní může v 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 tísni či za nápadně nevýhodných podmínek, na důkaz čehož níže připojují své vlastnoruční podpisy.</w:t>
      </w:r>
    </w:p>
    <w:p w14:paraId="738D4119" w14:textId="77777777" w:rsidR="000E4CAE" w:rsidRPr="00B945D2" w:rsidRDefault="00EF0D66">
      <w:pPr>
        <w:autoSpaceDE w:val="0"/>
        <w:autoSpaceDN w:val="0"/>
        <w:spacing w:before="100" w:beforeAutospacing="1"/>
        <w:ind w:right="49"/>
        <w:jc w:val="both"/>
        <w:rPr>
          <w:sz w:val="21"/>
          <w:szCs w:val="21"/>
        </w:rPr>
      </w:pPr>
      <w:r w:rsidRPr="00B945D2">
        <w:rPr>
          <w:sz w:val="21"/>
          <w:szCs w:val="21"/>
        </w:rPr>
        <w:t>              </w:t>
      </w:r>
    </w:p>
    <w:p w14:paraId="0D075DC9" w14:textId="77777777" w:rsidR="000E4CAE" w:rsidRPr="00B945D2" w:rsidRDefault="00EF0D66">
      <w:pPr>
        <w:pStyle w:val="Normlnweb"/>
        <w:rPr>
          <w:sz w:val="21"/>
          <w:szCs w:val="21"/>
        </w:rPr>
      </w:pPr>
      <w:r w:rsidRPr="00B945D2">
        <w:rPr>
          <w:rStyle w:val="Siln"/>
          <w:sz w:val="21"/>
          <w:szCs w:val="21"/>
        </w:rPr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873"/>
        <w:gridCol w:w="4873"/>
      </w:tblGrid>
      <w:tr w:rsidR="000E4CAE" w:rsidRPr="00B945D2" w14:paraId="05088D1B" w14:textId="77777777">
        <w:trPr>
          <w:tblCellSpacing w:w="15" w:type="dxa"/>
        </w:trPr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A5ABAD" w14:textId="158FDA7C" w:rsidR="000E4CAE" w:rsidRDefault="00EF0D66" w:rsidP="00B945D2">
            <w:pPr>
              <w:pStyle w:val="Bezmezer"/>
              <w:rPr>
                <w:rFonts w:eastAsia="Times New Roman"/>
                <w:sz w:val="21"/>
                <w:szCs w:val="21"/>
              </w:rPr>
            </w:pPr>
            <w:r w:rsidRPr="00B945D2">
              <w:rPr>
                <w:rFonts w:eastAsia="Times New Roman"/>
                <w:sz w:val="21"/>
                <w:szCs w:val="21"/>
              </w:rPr>
              <w:t>V …………………… dne ........................</w:t>
            </w:r>
            <w:r w:rsidRPr="00B945D2">
              <w:rPr>
                <w:rFonts w:eastAsia="Times New Roman"/>
                <w:sz w:val="21"/>
                <w:szCs w:val="21"/>
              </w:rPr>
              <w:br/>
            </w:r>
          </w:p>
          <w:p w14:paraId="4ABD80F7" w14:textId="63096D3A" w:rsidR="00B945D2" w:rsidRDefault="00B945D2" w:rsidP="00B945D2">
            <w:pPr>
              <w:pStyle w:val="Bezmezer"/>
              <w:rPr>
                <w:rFonts w:eastAsia="Times New Roman"/>
                <w:sz w:val="21"/>
                <w:szCs w:val="21"/>
              </w:rPr>
            </w:pPr>
          </w:p>
          <w:p w14:paraId="7BB040AE" w14:textId="77777777" w:rsidR="00B945D2" w:rsidRPr="00B945D2" w:rsidRDefault="00B945D2" w:rsidP="00B945D2">
            <w:pPr>
              <w:pStyle w:val="Bezmezer"/>
              <w:rPr>
                <w:rFonts w:eastAsia="Times New Roman"/>
                <w:sz w:val="21"/>
                <w:szCs w:val="21"/>
              </w:rPr>
            </w:pPr>
          </w:p>
          <w:p w14:paraId="64B80CDF" w14:textId="77777777" w:rsidR="000E4CAE" w:rsidRPr="00B945D2" w:rsidRDefault="00EF0D66" w:rsidP="00B945D2">
            <w:pPr>
              <w:pStyle w:val="Bezmezer"/>
              <w:rPr>
                <w:sz w:val="21"/>
                <w:szCs w:val="21"/>
              </w:rPr>
            </w:pPr>
            <w:r w:rsidRPr="00B945D2">
              <w:rPr>
                <w:sz w:val="21"/>
                <w:szCs w:val="21"/>
              </w:rPr>
              <w:t>__________________________________</w:t>
            </w:r>
          </w:p>
          <w:p w14:paraId="03D2BF20" w14:textId="77777777" w:rsidR="000E4CAE" w:rsidRPr="00B945D2" w:rsidRDefault="00EF0D66" w:rsidP="00B945D2">
            <w:pPr>
              <w:pStyle w:val="Bezmezer"/>
              <w:rPr>
                <w:sz w:val="21"/>
                <w:szCs w:val="21"/>
              </w:rPr>
            </w:pPr>
            <w:r w:rsidRPr="00B945D2">
              <w:rPr>
                <w:rStyle w:val="Siln"/>
                <w:sz w:val="21"/>
                <w:szCs w:val="21"/>
              </w:rPr>
              <w:t>GESTORE v.o.s.</w:t>
            </w:r>
            <w:r w:rsidRPr="00B945D2">
              <w:rPr>
                <w:sz w:val="21"/>
                <w:szCs w:val="21"/>
              </w:rPr>
              <w:t xml:space="preserve"> </w:t>
            </w:r>
            <w:r w:rsidRPr="00B945D2">
              <w:rPr>
                <w:sz w:val="21"/>
                <w:szCs w:val="21"/>
              </w:rPr>
              <w:br/>
              <w:t xml:space="preserve">insolvenční správce dlužníka: </w:t>
            </w:r>
            <w:r w:rsidRPr="00B945D2">
              <w:rPr>
                <w:sz w:val="21"/>
                <w:szCs w:val="21"/>
              </w:rPr>
              <w:br/>
              <w:t>IL CARDINE TRÁVNÍKY a.s., v likvidaci</w:t>
            </w:r>
          </w:p>
          <w:p w14:paraId="46FAE89F" w14:textId="77777777" w:rsidR="000E4CAE" w:rsidRPr="00B945D2" w:rsidRDefault="00EF0D66" w:rsidP="00B945D2">
            <w:pPr>
              <w:pStyle w:val="Bezmezer"/>
              <w:rPr>
                <w:sz w:val="20"/>
                <w:szCs w:val="20"/>
              </w:rPr>
            </w:pPr>
            <w:r w:rsidRPr="00B945D2">
              <w:rPr>
                <w:sz w:val="20"/>
                <w:szCs w:val="20"/>
              </w:rPr>
              <w:t>Prodávající</w:t>
            </w:r>
          </w:p>
        </w:tc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BAE5DE" w14:textId="33AE41A8" w:rsidR="000E4CAE" w:rsidRDefault="00EF0D66" w:rsidP="00B945D2">
            <w:pPr>
              <w:pStyle w:val="Bezmezer"/>
              <w:rPr>
                <w:rFonts w:eastAsia="Times New Roman"/>
                <w:sz w:val="21"/>
                <w:szCs w:val="21"/>
              </w:rPr>
            </w:pPr>
            <w:r w:rsidRPr="00B945D2">
              <w:rPr>
                <w:rFonts w:eastAsia="Times New Roman"/>
                <w:sz w:val="21"/>
                <w:szCs w:val="21"/>
              </w:rPr>
              <w:t xml:space="preserve">V …………………… dne ..................... </w:t>
            </w:r>
            <w:r w:rsidRPr="00B945D2">
              <w:rPr>
                <w:rFonts w:eastAsia="Times New Roman"/>
                <w:sz w:val="21"/>
                <w:szCs w:val="21"/>
              </w:rPr>
              <w:br/>
            </w:r>
          </w:p>
          <w:p w14:paraId="3F1999FB" w14:textId="543504C1" w:rsidR="00B945D2" w:rsidRDefault="00B945D2" w:rsidP="00B945D2">
            <w:pPr>
              <w:pStyle w:val="Bezmezer"/>
              <w:rPr>
                <w:rFonts w:eastAsia="Times New Roman"/>
                <w:sz w:val="21"/>
                <w:szCs w:val="21"/>
              </w:rPr>
            </w:pPr>
          </w:p>
          <w:p w14:paraId="11044066" w14:textId="77777777" w:rsidR="00B945D2" w:rsidRPr="00B945D2" w:rsidRDefault="00B945D2" w:rsidP="00B945D2">
            <w:pPr>
              <w:pStyle w:val="Bezmezer"/>
              <w:rPr>
                <w:rFonts w:eastAsia="Times New Roman"/>
                <w:sz w:val="21"/>
                <w:szCs w:val="21"/>
              </w:rPr>
            </w:pPr>
          </w:p>
          <w:p w14:paraId="771141C6" w14:textId="77777777" w:rsidR="000E4CAE" w:rsidRPr="00B945D2" w:rsidRDefault="00EF0D66" w:rsidP="00B945D2">
            <w:pPr>
              <w:pStyle w:val="Bezmezer"/>
              <w:rPr>
                <w:sz w:val="21"/>
                <w:szCs w:val="21"/>
              </w:rPr>
            </w:pPr>
            <w:r w:rsidRPr="00B945D2">
              <w:rPr>
                <w:sz w:val="21"/>
                <w:szCs w:val="21"/>
              </w:rPr>
              <w:t>__________________________________</w:t>
            </w:r>
          </w:p>
          <w:p w14:paraId="6C1537BF" w14:textId="77777777" w:rsidR="000E4CAE" w:rsidRPr="00B945D2" w:rsidRDefault="00EF0D66" w:rsidP="00B945D2">
            <w:pPr>
              <w:pStyle w:val="Bezmezer"/>
              <w:rPr>
                <w:sz w:val="20"/>
                <w:szCs w:val="20"/>
              </w:rPr>
            </w:pPr>
            <w:r w:rsidRPr="00B945D2">
              <w:rPr>
                <w:sz w:val="20"/>
                <w:szCs w:val="20"/>
              </w:rPr>
              <w:t>Kupující</w:t>
            </w:r>
          </w:p>
        </w:tc>
      </w:tr>
    </w:tbl>
    <w:p w14:paraId="3419FBE2" w14:textId="77777777" w:rsidR="000E4CAE" w:rsidRPr="00B945D2" w:rsidRDefault="00EF0D66" w:rsidP="00B945D2">
      <w:pPr>
        <w:pStyle w:val="Bezmezer"/>
        <w:rPr>
          <w:rStyle w:val="Siln"/>
          <w:sz w:val="21"/>
          <w:szCs w:val="21"/>
        </w:rPr>
      </w:pPr>
      <w:r w:rsidRPr="00B945D2">
        <w:rPr>
          <w:rStyle w:val="Siln"/>
          <w:sz w:val="21"/>
          <w:szCs w:val="21"/>
        </w:rPr>
        <w:t> </w:t>
      </w:r>
    </w:p>
    <w:p w14:paraId="3B9CF21E" w14:textId="77777777" w:rsidR="00B945D2" w:rsidRDefault="00B945D2" w:rsidP="003C1273">
      <w:pPr>
        <w:rPr>
          <w:b/>
          <w:bCs/>
          <w:sz w:val="21"/>
          <w:szCs w:val="21"/>
        </w:rPr>
      </w:pPr>
    </w:p>
    <w:p w14:paraId="3F9DB07F" w14:textId="77777777" w:rsidR="00B945D2" w:rsidRDefault="00B945D2" w:rsidP="003C1273">
      <w:pPr>
        <w:rPr>
          <w:b/>
          <w:bCs/>
          <w:sz w:val="21"/>
          <w:szCs w:val="21"/>
        </w:rPr>
      </w:pPr>
    </w:p>
    <w:p w14:paraId="5C03B6FC" w14:textId="77777777" w:rsidR="00B945D2" w:rsidRDefault="00B945D2" w:rsidP="003C1273">
      <w:pPr>
        <w:rPr>
          <w:b/>
          <w:bCs/>
          <w:sz w:val="21"/>
          <w:szCs w:val="21"/>
        </w:rPr>
      </w:pPr>
    </w:p>
    <w:p w14:paraId="43313DF1" w14:textId="1F88BE92" w:rsidR="000E4CAE" w:rsidRPr="00B945D2" w:rsidRDefault="00EF0D66" w:rsidP="003C1273">
      <w:pPr>
        <w:rPr>
          <w:sz w:val="21"/>
          <w:szCs w:val="21"/>
        </w:rPr>
      </w:pPr>
      <w:r w:rsidRPr="00B945D2">
        <w:rPr>
          <w:b/>
          <w:bCs/>
          <w:sz w:val="21"/>
          <w:szCs w:val="21"/>
        </w:rPr>
        <w:t>Seznam příloh:</w:t>
      </w:r>
    </w:p>
    <w:p w14:paraId="6035C301" w14:textId="77777777" w:rsidR="000E4CAE" w:rsidRPr="00B945D2" w:rsidRDefault="00EF0D66">
      <w:pPr>
        <w:rPr>
          <w:sz w:val="21"/>
          <w:szCs w:val="21"/>
        </w:rPr>
      </w:pPr>
      <w:r w:rsidRPr="00B945D2">
        <w:rPr>
          <w:sz w:val="21"/>
          <w:szCs w:val="21"/>
        </w:rPr>
        <w:t>• Pokyn zajištěného věřitele</w:t>
      </w:r>
    </w:p>
    <w:sectPr w:rsidR="000E4CAE" w:rsidRPr="00B945D2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13F23" w14:textId="77777777" w:rsidR="000E4CAE" w:rsidRDefault="00EF0D66">
      <w:r>
        <w:separator/>
      </w:r>
    </w:p>
  </w:endnote>
  <w:endnote w:type="continuationSeparator" w:id="0">
    <w:p w14:paraId="7771D021" w14:textId="77777777" w:rsidR="000E4CAE" w:rsidRDefault="00EF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9843433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5CE0D74" w14:textId="77777777" w:rsidR="000E4CAE" w:rsidRDefault="00EF0D66">
            <w:pPr>
              <w:pStyle w:val="Zpat"/>
            </w:pPr>
            <w:r>
              <w:rPr>
                <w:sz w:val="20"/>
                <w:szCs w:val="20"/>
              </w:rPr>
              <w:t xml:space="preserve">Stránka </w:t>
            </w: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>PAGE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="00E44E5E">
              <w:rPr>
                <w:b/>
                <w:bCs/>
                <w:noProof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z </w:t>
            </w:r>
            <w:r>
              <w:rPr>
                <w:b/>
                <w:bCs/>
                <w:sz w:val="20"/>
                <w:szCs w:val="20"/>
              </w:rPr>
              <w:fldChar w:fldCharType="begin"/>
            </w:r>
            <w:r>
              <w:rPr>
                <w:b/>
                <w:bCs/>
                <w:sz w:val="20"/>
                <w:szCs w:val="20"/>
              </w:rPr>
              <w:instrText>NUMPAGES</w:instrText>
            </w:r>
            <w:r>
              <w:rPr>
                <w:b/>
                <w:bCs/>
                <w:sz w:val="20"/>
                <w:szCs w:val="20"/>
              </w:rPr>
              <w:fldChar w:fldCharType="separate"/>
            </w:r>
            <w:r w:rsidR="00E44E5E">
              <w:rPr>
                <w:b/>
                <w:bCs/>
                <w:noProof/>
                <w:sz w:val="20"/>
                <w:szCs w:val="20"/>
              </w:rPr>
              <w:t>5</w:t>
            </w:r>
            <w:r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CE6CDA5" w14:textId="77777777" w:rsidR="000E4CAE" w:rsidRDefault="000E4CA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6F819" w14:textId="77777777" w:rsidR="000E4CAE" w:rsidRDefault="00EF0D66">
      <w:r>
        <w:separator/>
      </w:r>
    </w:p>
  </w:footnote>
  <w:footnote w:type="continuationSeparator" w:id="0">
    <w:p w14:paraId="0C207EB5" w14:textId="77777777" w:rsidR="000E4CAE" w:rsidRDefault="00EF0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0613CB"/>
    <w:multiLevelType w:val="multilevel"/>
    <w:tmpl w:val="7CBE1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175974F8"/>
    <w:multiLevelType w:val="multilevel"/>
    <w:tmpl w:val="CCE4CD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C9D7818"/>
    <w:multiLevelType w:val="multilevel"/>
    <w:tmpl w:val="12F8F7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B190618"/>
    <w:multiLevelType w:val="multilevel"/>
    <w:tmpl w:val="F260ED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 w15:restartNumberingAfterBreak="0">
    <w:nsid w:val="2C3F24A8"/>
    <w:multiLevelType w:val="hybridMultilevel"/>
    <w:tmpl w:val="7A20C3F6"/>
    <w:lvl w:ilvl="0" w:tplc="D91813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A61C51"/>
    <w:multiLevelType w:val="multilevel"/>
    <w:tmpl w:val="860C18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369D64F2"/>
    <w:multiLevelType w:val="multilevel"/>
    <w:tmpl w:val="450EB2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36BA4EEB"/>
    <w:multiLevelType w:val="multilevel"/>
    <w:tmpl w:val="00BA51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77996E3A"/>
    <w:multiLevelType w:val="multilevel"/>
    <w:tmpl w:val="9574E6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D66"/>
    <w:rsid w:val="000E4CAE"/>
    <w:rsid w:val="0018478A"/>
    <w:rsid w:val="003C1273"/>
    <w:rsid w:val="009927E3"/>
    <w:rsid w:val="00B945D2"/>
    <w:rsid w:val="00E44E5E"/>
    <w:rsid w:val="00EC43F1"/>
    <w:rsid w:val="00EF0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799FE5"/>
  <w15:chartTrackingRefBased/>
  <w15:docId w15:val="{D23AAD77-1800-43FF-B068-596EC96FB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3763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character" w:customStyle="1" w:styleId="platne1">
    <w:name w:val="platne1"/>
    <w:basedOn w:val="Standardnpsmoodstavce"/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Odkaznakoment">
    <w:name w:val="annotation reference"/>
    <w:basedOn w:val="Standardnpsmoodstavce"/>
    <w:uiPriority w:val="99"/>
    <w:semiHidden/>
    <w:unhideWhenUsed/>
    <w:rsid w:val="009927E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9927E3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9927E3"/>
    <w:rPr>
      <w:rFonts w:eastAsiaTheme="minorEastAsi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927E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927E3"/>
    <w:rPr>
      <w:rFonts w:eastAsiaTheme="minorEastAsia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927E3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27E3"/>
    <w:rPr>
      <w:rFonts w:ascii="Segoe UI" w:eastAsiaTheme="minorEastAsia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18478A"/>
    <w:rPr>
      <w:rFonts w:eastAsiaTheme="minorEastAsia"/>
      <w:sz w:val="24"/>
      <w:szCs w:val="24"/>
    </w:rPr>
  </w:style>
  <w:style w:type="paragraph" w:styleId="Bezmezer">
    <w:name w:val="No Spacing"/>
    <w:uiPriority w:val="1"/>
    <w:qFormat/>
    <w:rsid w:val="00B945D2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1857</Words>
  <Characters>10512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Petr Janša, MBA</dc:creator>
  <cp:keywords/>
  <dc:description/>
  <cp:lastModifiedBy>Prokonzulta Prokonzulta</cp:lastModifiedBy>
  <cp:revision>2</cp:revision>
  <dcterms:created xsi:type="dcterms:W3CDTF">2021-12-23T19:29:00Z</dcterms:created>
  <dcterms:modified xsi:type="dcterms:W3CDTF">2021-12-23T19:29:00Z</dcterms:modified>
</cp:coreProperties>
</file>