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75C6A" w:rsidRDefault="00B34882">
      <w:pPr>
        <w:widowControl w:val="0"/>
        <w:ind w:right="49"/>
        <w:jc w:val="center"/>
        <w:rPr>
          <w:rFonts w:ascii="Calibri" w:eastAsia="Calibri" w:hAnsi="Calibri" w:cs="Calibri"/>
          <w:b/>
          <w:sz w:val="26"/>
          <w:szCs w:val="26"/>
        </w:rPr>
      </w:pPr>
      <w:r>
        <w:rPr>
          <w:rFonts w:ascii="Calibri" w:eastAsia="Calibri" w:hAnsi="Calibri" w:cs="Calibri"/>
          <w:b/>
          <w:sz w:val="26"/>
          <w:szCs w:val="26"/>
        </w:rPr>
        <w:t>Kupní smlouva o prodeji a koupi nemovitých věcí</w:t>
      </w:r>
    </w:p>
    <w:p w14:paraId="00000002" w14:textId="77777777" w:rsidR="00975C6A" w:rsidRDefault="00975C6A">
      <w:pPr>
        <w:widowControl w:val="0"/>
        <w:ind w:right="49"/>
        <w:rPr>
          <w:rFonts w:ascii="Calibri" w:eastAsia="Calibri" w:hAnsi="Calibri" w:cs="Calibri"/>
          <w:b/>
          <w:sz w:val="20"/>
          <w:szCs w:val="20"/>
        </w:rPr>
      </w:pPr>
    </w:p>
    <w:p w14:paraId="00000003" w14:textId="77777777" w:rsidR="00975C6A" w:rsidRDefault="00B34882">
      <w:pPr>
        <w:widowControl w:val="0"/>
        <w:spacing w:after="240"/>
        <w:ind w:right="51"/>
        <w:jc w:val="center"/>
        <w:rPr>
          <w:rFonts w:ascii="Calibri" w:eastAsia="Calibri" w:hAnsi="Calibri" w:cs="Calibri"/>
          <w:i/>
          <w:sz w:val="20"/>
          <w:szCs w:val="20"/>
        </w:rPr>
      </w:pPr>
      <w:r>
        <w:rPr>
          <w:rFonts w:ascii="Calibri" w:eastAsia="Calibri" w:hAnsi="Calibri" w:cs="Calibri"/>
          <w:i/>
          <w:sz w:val="20"/>
          <w:szCs w:val="20"/>
        </w:rPr>
        <w:t xml:space="preserve">uzavřená v souladu s příslušnými ustanoveními § 2079 a násl. (zejména § 2128 a násl.) </w:t>
      </w:r>
      <w:r>
        <w:rPr>
          <w:rFonts w:ascii="Calibri" w:eastAsia="Calibri" w:hAnsi="Calibri" w:cs="Calibri"/>
          <w:i/>
          <w:sz w:val="20"/>
          <w:szCs w:val="20"/>
        </w:rPr>
        <w:br/>
      </w:r>
      <w:r>
        <w:rPr>
          <w:rFonts w:ascii="Calibri" w:eastAsia="Calibri" w:hAnsi="Calibri" w:cs="Calibri"/>
          <w:i/>
          <w:sz w:val="20"/>
          <w:szCs w:val="20"/>
        </w:rPr>
        <w:t>zákona č. 89/2012 Sb., občanský zákoník (dále jen „NOZ“), ve znění pozdějších předpisů.</w:t>
      </w:r>
    </w:p>
    <w:p w14:paraId="00000004" w14:textId="77777777" w:rsidR="00975C6A" w:rsidRDefault="00975C6A">
      <w:pPr>
        <w:widowControl w:val="0"/>
        <w:ind w:right="49"/>
        <w:rPr>
          <w:rFonts w:ascii="Calibri" w:eastAsia="Calibri" w:hAnsi="Calibri" w:cs="Calibri"/>
          <w:sz w:val="20"/>
          <w:szCs w:val="20"/>
        </w:rPr>
      </w:pPr>
    </w:p>
    <w:p w14:paraId="00000005" w14:textId="77777777" w:rsidR="00975C6A" w:rsidRDefault="00B34882">
      <w:pPr>
        <w:ind w:right="49"/>
        <w:rPr>
          <w:rFonts w:ascii="Calibri" w:eastAsia="Calibri" w:hAnsi="Calibri" w:cs="Calibri"/>
          <w:sz w:val="21"/>
          <w:szCs w:val="21"/>
        </w:rPr>
      </w:pPr>
      <w:r>
        <w:rPr>
          <w:rFonts w:ascii="Calibri" w:eastAsia="Calibri" w:hAnsi="Calibri" w:cs="Calibri"/>
          <w:b/>
          <w:sz w:val="21"/>
          <w:szCs w:val="21"/>
        </w:rPr>
        <w:t>Správce insolvencí v.o.s.</w:t>
      </w:r>
      <w:r>
        <w:rPr>
          <w:rFonts w:ascii="Calibri" w:eastAsia="Calibri" w:hAnsi="Calibri" w:cs="Calibri"/>
          <w:sz w:val="21"/>
          <w:szCs w:val="21"/>
        </w:rPr>
        <w:t>, IČ 05620678,</w:t>
      </w:r>
    </w:p>
    <w:p w14:paraId="00000006" w14:textId="77777777" w:rsidR="00975C6A" w:rsidRDefault="00B34882">
      <w:pPr>
        <w:ind w:right="49"/>
        <w:rPr>
          <w:rFonts w:ascii="Calibri" w:eastAsia="Calibri" w:hAnsi="Calibri" w:cs="Calibri"/>
          <w:sz w:val="21"/>
          <w:szCs w:val="21"/>
        </w:rPr>
      </w:pPr>
      <w:r>
        <w:rPr>
          <w:rFonts w:ascii="Calibri" w:eastAsia="Calibri" w:hAnsi="Calibri" w:cs="Calibri"/>
          <w:sz w:val="21"/>
          <w:szCs w:val="21"/>
        </w:rPr>
        <w:t>se sídlem Slezská 2127/13, Praha 2, PSČ 120 00,</w:t>
      </w:r>
    </w:p>
    <w:p w14:paraId="00000007" w14:textId="77777777" w:rsidR="00975C6A" w:rsidRDefault="00B34882">
      <w:pPr>
        <w:ind w:right="49"/>
        <w:rPr>
          <w:rFonts w:ascii="Calibri" w:eastAsia="Calibri" w:hAnsi="Calibri" w:cs="Calibri"/>
          <w:sz w:val="21"/>
          <w:szCs w:val="21"/>
        </w:rPr>
      </w:pPr>
      <w:r>
        <w:rPr>
          <w:rFonts w:ascii="Calibri" w:eastAsia="Calibri" w:hAnsi="Calibri" w:cs="Calibri"/>
          <w:sz w:val="21"/>
          <w:szCs w:val="21"/>
        </w:rPr>
        <w:t xml:space="preserve">vedený u Městský soud v Praze pod </w:t>
      </w:r>
      <w:proofErr w:type="spellStart"/>
      <w:r>
        <w:rPr>
          <w:rFonts w:ascii="Calibri" w:eastAsia="Calibri" w:hAnsi="Calibri" w:cs="Calibri"/>
          <w:sz w:val="21"/>
          <w:szCs w:val="21"/>
        </w:rPr>
        <w:t>sp</w:t>
      </w:r>
      <w:proofErr w:type="spellEnd"/>
      <w:r>
        <w:rPr>
          <w:rFonts w:ascii="Calibri" w:eastAsia="Calibri" w:hAnsi="Calibri" w:cs="Calibri"/>
          <w:sz w:val="21"/>
          <w:szCs w:val="21"/>
        </w:rPr>
        <w:t>. zn. A 77610,</w:t>
      </w:r>
    </w:p>
    <w:p w14:paraId="00000008" w14:textId="77777777" w:rsidR="00975C6A" w:rsidRDefault="00B34882">
      <w:pPr>
        <w:ind w:right="49"/>
        <w:rPr>
          <w:rFonts w:ascii="Calibri" w:eastAsia="Calibri" w:hAnsi="Calibri" w:cs="Calibri"/>
          <w:sz w:val="21"/>
          <w:szCs w:val="21"/>
        </w:rPr>
      </w:pPr>
      <w:r>
        <w:rPr>
          <w:rFonts w:ascii="Calibri" w:eastAsia="Calibri" w:hAnsi="Calibri" w:cs="Calibri"/>
          <w:sz w:val="21"/>
          <w:szCs w:val="21"/>
        </w:rPr>
        <w:t xml:space="preserve">zastoupený Mgr. Jan </w:t>
      </w:r>
      <w:proofErr w:type="spellStart"/>
      <w:r>
        <w:rPr>
          <w:rFonts w:ascii="Calibri" w:eastAsia="Calibri" w:hAnsi="Calibri" w:cs="Calibri"/>
          <w:sz w:val="21"/>
          <w:szCs w:val="21"/>
        </w:rPr>
        <w:t>Čikovský</w:t>
      </w:r>
      <w:proofErr w:type="spellEnd"/>
      <w:r>
        <w:rPr>
          <w:rFonts w:ascii="Calibri" w:eastAsia="Calibri" w:hAnsi="Calibri" w:cs="Calibri"/>
          <w:sz w:val="21"/>
          <w:szCs w:val="21"/>
        </w:rPr>
        <w:t>, ohlášený společník</w:t>
      </w:r>
    </w:p>
    <w:p w14:paraId="00000009" w14:textId="77777777" w:rsidR="00975C6A" w:rsidRDefault="00B34882">
      <w:pPr>
        <w:spacing w:after="120"/>
        <w:rPr>
          <w:rFonts w:ascii="Calibri" w:eastAsia="Calibri" w:hAnsi="Calibri" w:cs="Calibri"/>
          <w:sz w:val="21"/>
          <w:szCs w:val="21"/>
        </w:rPr>
      </w:pPr>
      <w:r>
        <w:rPr>
          <w:rFonts w:ascii="Calibri" w:eastAsia="Calibri" w:hAnsi="Calibri" w:cs="Calibri"/>
          <w:sz w:val="21"/>
          <w:szCs w:val="21"/>
        </w:rPr>
        <w:t>insolvenční správce dlužníka</w:t>
      </w:r>
      <w:r>
        <w:rPr>
          <w:rFonts w:ascii="Calibri" w:eastAsia="Calibri" w:hAnsi="Calibri" w:cs="Calibri"/>
          <w:b/>
          <w:sz w:val="21"/>
          <w:szCs w:val="21"/>
        </w:rPr>
        <w:t>:</w:t>
      </w:r>
    </w:p>
    <w:p w14:paraId="0000000A" w14:textId="77777777" w:rsidR="00975C6A" w:rsidRDefault="00975C6A">
      <w:pPr>
        <w:pBdr>
          <w:top w:val="nil"/>
          <w:left w:val="nil"/>
          <w:bottom w:val="nil"/>
          <w:right w:val="nil"/>
          <w:between w:val="nil"/>
        </w:pBdr>
        <w:ind w:left="284"/>
        <w:jc w:val="both"/>
        <w:rPr>
          <w:rFonts w:ascii="Calibri" w:eastAsia="Calibri" w:hAnsi="Calibri" w:cs="Calibri"/>
          <w:color w:val="000000"/>
          <w:sz w:val="21"/>
          <w:szCs w:val="21"/>
        </w:rPr>
      </w:pPr>
    </w:p>
    <w:p w14:paraId="0000000B"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b/>
          <w:color w:val="000000"/>
          <w:sz w:val="21"/>
          <w:szCs w:val="21"/>
        </w:rPr>
        <w:t>TECHNOSERVICE-technické a komerční služby, s.r.o.</w:t>
      </w:r>
    </w:p>
    <w:p w14:paraId="0000000C"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IČ 61062812</w:t>
      </w:r>
    </w:p>
    <w:p w14:paraId="0000000D"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sídlem Praha 3, Slezská 844/96, PSČ 13000</w:t>
      </w:r>
    </w:p>
    <w:p w14:paraId="0000000E"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 xml:space="preserve">vedený u Městský soud v Praze pod </w:t>
      </w:r>
      <w:proofErr w:type="spellStart"/>
      <w:r>
        <w:rPr>
          <w:rFonts w:ascii="Calibri" w:eastAsia="Calibri" w:hAnsi="Calibri" w:cs="Calibri"/>
          <w:color w:val="000000"/>
          <w:sz w:val="21"/>
          <w:szCs w:val="21"/>
        </w:rPr>
        <w:t>sp</w:t>
      </w:r>
      <w:proofErr w:type="spellEnd"/>
      <w:r>
        <w:rPr>
          <w:rFonts w:ascii="Calibri" w:eastAsia="Calibri" w:hAnsi="Calibri" w:cs="Calibri"/>
          <w:color w:val="000000"/>
          <w:sz w:val="21"/>
          <w:szCs w:val="21"/>
        </w:rPr>
        <w:t>. zn. C 43218</w:t>
      </w:r>
    </w:p>
    <w:p w14:paraId="0000000F"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b/>
      </w:r>
    </w:p>
    <w:p w14:paraId="00000010" w14:textId="77777777" w:rsidR="00975C6A" w:rsidRDefault="00B34882">
      <w:pPr>
        <w:pBdr>
          <w:top w:val="nil"/>
          <w:left w:val="nil"/>
          <w:bottom w:val="nil"/>
          <w:right w:val="nil"/>
          <w:between w:val="nil"/>
        </w:pBdr>
        <w:spacing w:after="60"/>
        <w:jc w:val="both"/>
        <w:rPr>
          <w:rFonts w:ascii="Calibri" w:eastAsia="Calibri" w:hAnsi="Calibri" w:cs="Calibri"/>
          <w:color w:val="000000"/>
          <w:sz w:val="21"/>
          <w:szCs w:val="21"/>
        </w:rPr>
      </w:pPr>
      <w:r>
        <w:rPr>
          <w:rFonts w:ascii="Calibri" w:eastAsia="Calibri" w:hAnsi="Calibri" w:cs="Calibri"/>
          <w:color w:val="000000"/>
          <w:sz w:val="21"/>
          <w:szCs w:val="21"/>
        </w:rPr>
        <w:t>(dále jen „</w:t>
      </w:r>
      <w:r>
        <w:rPr>
          <w:rFonts w:ascii="Calibri" w:eastAsia="Calibri" w:hAnsi="Calibri" w:cs="Calibri"/>
          <w:b/>
          <w:color w:val="000000"/>
          <w:sz w:val="21"/>
          <w:szCs w:val="21"/>
        </w:rPr>
        <w:t>prodávající</w:t>
      </w:r>
      <w:r>
        <w:rPr>
          <w:rFonts w:ascii="Calibri" w:eastAsia="Calibri" w:hAnsi="Calibri" w:cs="Calibri"/>
          <w:color w:val="000000"/>
          <w:sz w:val="21"/>
          <w:szCs w:val="21"/>
        </w:rPr>
        <w:t>“)</w:t>
      </w:r>
    </w:p>
    <w:p w14:paraId="00000011" w14:textId="77777777" w:rsidR="00975C6A" w:rsidRDefault="00975C6A">
      <w:pPr>
        <w:pBdr>
          <w:top w:val="nil"/>
          <w:left w:val="nil"/>
          <w:bottom w:val="nil"/>
          <w:right w:val="nil"/>
          <w:between w:val="nil"/>
        </w:pBdr>
        <w:spacing w:after="60"/>
        <w:jc w:val="both"/>
        <w:rPr>
          <w:rFonts w:ascii="Calibri" w:eastAsia="Calibri" w:hAnsi="Calibri" w:cs="Calibri"/>
          <w:color w:val="000000"/>
          <w:sz w:val="21"/>
          <w:szCs w:val="21"/>
        </w:rPr>
      </w:pPr>
    </w:p>
    <w:p w14:paraId="00000012" w14:textId="77777777" w:rsidR="00975C6A" w:rsidRDefault="00B34882">
      <w:pPr>
        <w:widowControl w:val="0"/>
        <w:ind w:right="49"/>
        <w:rPr>
          <w:rFonts w:ascii="Calibri" w:eastAsia="Calibri" w:hAnsi="Calibri" w:cs="Calibri"/>
          <w:sz w:val="21"/>
          <w:szCs w:val="21"/>
        </w:rPr>
      </w:pPr>
      <w:r>
        <w:rPr>
          <w:rFonts w:ascii="Calibri" w:eastAsia="Calibri" w:hAnsi="Calibri" w:cs="Calibri"/>
          <w:sz w:val="21"/>
          <w:szCs w:val="21"/>
        </w:rPr>
        <w:t>a</w:t>
      </w:r>
    </w:p>
    <w:p w14:paraId="00000013" w14:textId="77777777" w:rsidR="00975C6A" w:rsidRDefault="00975C6A">
      <w:pPr>
        <w:pBdr>
          <w:top w:val="nil"/>
          <w:left w:val="nil"/>
          <w:bottom w:val="nil"/>
          <w:right w:val="nil"/>
          <w:between w:val="nil"/>
        </w:pBdr>
        <w:jc w:val="both"/>
        <w:rPr>
          <w:rFonts w:ascii="Calibri" w:eastAsia="Calibri" w:hAnsi="Calibri" w:cs="Calibri"/>
          <w:color w:val="000000"/>
          <w:sz w:val="21"/>
          <w:szCs w:val="21"/>
        </w:rPr>
      </w:pPr>
    </w:p>
    <w:p w14:paraId="00000015" w14:textId="3900CB43" w:rsidR="00975C6A" w:rsidRPr="00B34882" w:rsidRDefault="00B34882">
      <w:pPr>
        <w:pBdr>
          <w:top w:val="nil"/>
          <w:left w:val="nil"/>
          <w:bottom w:val="nil"/>
          <w:right w:val="nil"/>
          <w:between w:val="nil"/>
        </w:pBdr>
        <w:jc w:val="both"/>
        <w:rPr>
          <w:rFonts w:ascii="Calibri" w:eastAsia="Calibri" w:hAnsi="Calibri" w:cs="Calibri"/>
          <w:b/>
          <w:color w:val="000000"/>
          <w:sz w:val="21"/>
          <w:szCs w:val="21"/>
          <w:highlight w:val="yellow"/>
        </w:rPr>
      </w:pPr>
      <w:r w:rsidRPr="00B34882">
        <w:rPr>
          <w:rFonts w:ascii="Calibri" w:eastAsia="Calibri" w:hAnsi="Calibri" w:cs="Calibri"/>
          <w:b/>
          <w:sz w:val="21"/>
          <w:szCs w:val="21"/>
          <w:highlight w:val="yellow"/>
        </w:rPr>
        <w:t>……………….</w:t>
      </w:r>
      <w:r w:rsidRPr="00B34882">
        <w:rPr>
          <w:rFonts w:ascii="Calibri" w:eastAsia="Calibri" w:hAnsi="Calibri" w:cs="Calibri"/>
          <w:b/>
          <w:color w:val="000000"/>
          <w:sz w:val="21"/>
          <w:szCs w:val="21"/>
          <w:highlight w:val="yellow"/>
        </w:rPr>
        <w:t xml:space="preserve">, </w:t>
      </w:r>
      <w:r w:rsidRPr="00B34882">
        <w:rPr>
          <w:rFonts w:ascii="Calibri" w:eastAsia="Calibri" w:hAnsi="Calibri" w:cs="Calibri"/>
          <w:color w:val="000000"/>
          <w:sz w:val="21"/>
          <w:szCs w:val="21"/>
          <w:highlight w:val="yellow"/>
        </w:rPr>
        <w:t>IČ ………………………..</w:t>
      </w:r>
    </w:p>
    <w:p w14:paraId="00000016" w14:textId="2B9A54E2" w:rsidR="00975C6A" w:rsidRDefault="00B34882">
      <w:pPr>
        <w:pBdr>
          <w:top w:val="nil"/>
          <w:left w:val="nil"/>
          <w:bottom w:val="nil"/>
          <w:right w:val="nil"/>
          <w:between w:val="nil"/>
        </w:pBdr>
        <w:jc w:val="both"/>
        <w:rPr>
          <w:rFonts w:ascii="Calibri" w:eastAsia="Calibri" w:hAnsi="Calibri" w:cs="Calibri"/>
          <w:color w:val="000000"/>
          <w:sz w:val="21"/>
          <w:szCs w:val="21"/>
        </w:rPr>
      </w:pPr>
      <w:r w:rsidRPr="00B34882">
        <w:rPr>
          <w:rFonts w:ascii="Calibri" w:eastAsia="Calibri" w:hAnsi="Calibri" w:cs="Calibri"/>
          <w:color w:val="000000"/>
          <w:sz w:val="21"/>
          <w:szCs w:val="21"/>
          <w:highlight w:val="yellow"/>
        </w:rPr>
        <w:t xml:space="preserve">se </w:t>
      </w:r>
      <w:r w:rsidRPr="00B34882">
        <w:rPr>
          <w:rFonts w:ascii="Calibri" w:eastAsia="Calibri" w:hAnsi="Calibri" w:cs="Calibri"/>
          <w:color w:val="000000"/>
          <w:sz w:val="21"/>
          <w:szCs w:val="21"/>
          <w:highlight w:val="yellow"/>
        </w:rPr>
        <w:t>sídlem …………………………………..</w:t>
      </w:r>
    </w:p>
    <w:p w14:paraId="00000019" w14:textId="77777777" w:rsidR="00975C6A" w:rsidRDefault="00975C6A">
      <w:pPr>
        <w:pBdr>
          <w:top w:val="nil"/>
          <w:left w:val="nil"/>
          <w:bottom w:val="nil"/>
          <w:right w:val="nil"/>
          <w:between w:val="nil"/>
        </w:pBdr>
        <w:jc w:val="both"/>
        <w:rPr>
          <w:rFonts w:ascii="Calibri" w:eastAsia="Calibri" w:hAnsi="Calibri" w:cs="Calibri"/>
          <w:color w:val="000000"/>
          <w:sz w:val="21"/>
          <w:szCs w:val="21"/>
        </w:rPr>
      </w:pPr>
    </w:p>
    <w:p w14:paraId="0000001A" w14:textId="77777777" w:rsidR="00975C6A" w:rsidRDefault="00B34882">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(dále jen „</w:t>
      </w:r>
      <w:r>
        <w:rPr>
          <w:rFonts w:ascii="Calibri" w:eastAsia="Calibri" w:hAnsi="Calibri" w:cs="Calibri"/>
          <w:b/>
          <w:color w:val="000000"/>
          <w:sz w:val="21"/>
          <w:szCs w:val="21"/>
        </w:rPr>
        <w:t>kupující</w:t>
      </w:r>
      <w:r>
        <w:rPr>
          <w:rFonts w:ascii="Calibri" w:eastAsia="Calibri" w:hAnsi="Calibri" w:cs="Calibri"/>
          <w:color w:val="000000"/>
          <w:sz w:val="21"/>
          <w:szCs w:val="21"/>
        </w:rPr>
        <w:t>“)</w:t>
      </w:r>
    </w:p>
    <w:p w14:paraId="0000001B" w14:textId="77777777" w:rsidR="00975C6A" w:rsidRDefault="00975C6A">
      <w:pPr>
        <w:pBdr>
          <w:top w:val="nil"/>
          <w:left w:val="nil"/>
          <w:bottom w:val="nil"/>
          <w:right w:val="nil"/>
          <w:between w:val="nil"/>
        </w:pBdr>
        <w:jc w:val="both"/>
        <w:rPr>
          <w:rFonts w:ascii="Calibri" w:eastAsia="Calibri" w:hAnsi="Calibri" w:cs="Calibri"/>
          <w:color w:val="000000"/>
          <w:sz w:val="21"/>
          <w:szCs w:val="21"/>
        </w:rPr>
      </w:pPr>
    </w:p>
    <w:p w14:paraId="0000001C" w14:textId="77777777" w:rsidR="00975C6A" w:rsidRDefault="00975C6A">
      <w:pPr>
        <w:pBdr>
          <w:top w:val="nil"/>
          <w:left w:val="nil"/>
          <w:bottom w:val="nil"/>
          <w:right w:val="nil"/>
          <w:between w:val="nil"/>
        </w:pBdr>
        <w:jc w:val="both"/>
        <w:rPr>
          <w:rFonts w:ascii="Calibri" w:eastAsia="Calibri" w:hAnsi="Calibri" w:cs="Calibri"/>
          <w:color w:val="000000"/>
          <w:sz w:val="21"/>
          <w:szCs w:val="21"/>
        </w:rPr>
      </w:pPr>
    </w:p>
    <w:p w14:paraId="0000001D" w14:textId="77777777" w:rsidR="00975C6A" w:rsidRDefault="00975C6A">
      <w:pPr>
        <w:pBdr>
          <w:top w:val="nil"/>
          <w:left w:val="nil"/>
          <w:bottom w:val="nil"/>
          <w:right w:val="nil"/>
          <w:between w:val="nil"/>
        </w:pBdr>
        <w:jc w:val="both"/>
        <w:rPr>
          <w:rFonts w:ascii="Calibri" w:eastAsia="Calibri" w:hAnsi="Calibri" w:cs="Calibri"/>
          <w:color w:val="000000"/>
          <w:sz w:val="21"/>
          <w:szCs w:val="21"/>
        </w:rPr>
      </w:pPr>
    </w:p>
    <w:p w14:paraId="0000001E" w14:textId="77777777" w:rsidR="00975C6A" w:rsidRDefault="00B34882">
      <w:pPr>
        <w:keepNext/>
        <w:numPr>
          <w:ilvl w:val="0"/>
          <w:numId w:val="9"/>
        </w:numPr>
        <w:pBdr>
          <w:top w:val="nil"/>
          <w:left w:val="nil"/>
          <w:bottom w:val="nil"/>
          <w:right w:val="nil"/>
          <w:between w:val="nil"/>
        </w:pBdr>
        <w:spacing w:before="360"/>
        <w:ind w:left="0" w:right="51"/>
        <w:jc w:val="center"/>
        <w:rPr>
          <w:rFonts w:ascii="Calibri" w:eastAsia="Calibri" w:hAnsi="Calibri" w:cs="Calibri"/>
          <w:b/>
          <w:color w:val="000000"/>
          <w:sz w:val="21"/>
          <w:szCs w:val="21"/>
        </w:rPr>
      </w:pPr>
      <w:r>
        <w:rPr>
          <w:rFonts w:ascii="Calibri" w:eastAsia="Calibri" w:hAnsi="Calibri" w:cs="Calibri"/>
          <w:b/>
          <w:color w:val="000000"/>
          <w:sz w:val="21"/>
          <w:szCs w:val="21"/>
        </w:rPr>
        <w:t>Úvodní ustanovení</w:t>
      </w:r>
    </w:p>
    <w:p w14:paraId="0000001F" w14:textId="77777777" w:rsidR="00975C6A" w:rsidRDefault="00B34882">
      <w:pPr>
        <w:widowControl w:val="0"/>
        <w:numPr>
          <w:ilvl w:val="0"/>
          <w:numId w:val="3"/>
        </w:numPr>
        <w:pBdr>
          <w:top w:val="nil"/>
          <w:left w:val="nil"/>
          <w:bottom w:val="nil"/>
          <w:right w:val="nil"/>
          <w:between w:val="nil"/>
        </w:pBdr>
        <w:tabs>
          <w:tab w:val="left" w:pos="851"/>
          <w:tab w:val="left" w:pos="5670"/>
          <w:tab w:val="left" w:pos="6521"/>
        </w:tabs>
        <w:ind w:left="0" w:right="49"/>
        <w:jc w:val="both"/>
        <w:rPr>
          <w:rFonts w:ascii="Calibri" w:eastAsia="Calibri" w:hAnsi="Calibri" w:cs="Calibri"/>
          <w:color w:val="000000"/>
          <w:sz w:val="21"/>
          <w:szCs w:val="21"/>
        </w:rPr>
      </w:pPr>
      <w:r>
        <w:rPr>
          <w:rFonts w:ascii="Calibri" w:eastAsia="Calibri" w:hAnsi="Calibri" w:cs="Calibri"/>
          <w:color w:val="000000"/>
          <w:sz w:val="21"/>
          <w:szCs w:val="21"/>
        </w:rPr>
        <w:t>Usnesením Městského soudu v Praze ze dne 7. 5. 2021, č.j. MSPH 77 INS 1285 / 2021 - A-50, byl zjištěn úpadek a prohlášen konkurs shora uvedeného dlužníka společnosti TECHNOSERVICE – technické a komerční služby, s.r.o., IČO 61062812, se sídlem Slezská 844/9</w:t>
      </w:r>
      <w:r>
        <w:rPr>
          <w:rFonts w:ascii="Calibri" w:eastAsia="Calibri" w:hAnsi="Calibri" w:cs="Calibri"/>
          <w:color w:val="000000"/>
          <w:sz w:val="21"/>
          <w:szCs w:val="21"/>
        </w:rPr>
        <w:t>6, Praha 3, jehož insolvenčním správcem byl ustanoven Správce insolvencí v.o.s.</w:t>
      </w:r>
    </w:p>
    <w:p w14:paraId="00000020" w14:textId="77777777" w:rsidR="00975C6A" w:rsidRDefault="00975C6A">
      <w:pPr>
        <w:widowControl w:val="0"/>
        <w:pBdr>
          <w:top w:val="nil"/>
          <w:left w:val="nil"/>
          <w:bottom w:val="nil"/>
          <w:right w:val="nil"/>
          <w:between w:val="nil"/>
        </w:pBdr>
        <w:tabs>
          <w:tab w:val="left" w:pos="851"/>
          <w:tab w:val="left" w:pos="5670"/>
          <w:tab w:val="left" w:pos="6521"/>
        </w:tabs>
        <w:ind w:right="49"/>
        <w:jc w:val="both"/>
        <w:rPr>
          <w:rFonts w:ascii="Calibri" w:eastAsia="Calibri" w:hAnsi="Calibri" w:cs="Calibri"/>
          <w:color w:val="000000"/>
          <w:sz w:val="21"/>
          <w:szCs w:val="21"/>
        </w:rPr>
      </w:pPr>
    </w:p>
    <w:p w14:paraId="00000021" w14:textId="77777777" w:rsidR="00975C6A" w:rsidRDefault="00B34882">
      <w:pPr>
        <w:widowControl w:val="0"/>
        <w:numPr>
          <w:ilvl w:val="0"/>
          <w:numId w:val="3"/>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Prodávající prohlašuje, že dnem prohlášení konkursu na ni, resp. na insolvenčního správce, přešlo oprávnění nakládat s majetkem náležejícím do majetkové podstaty výše zmíněného dlužníka, a to v souladu s ustanovením  § 246 odst. 1 zákona č. 182/2006 Sb., o</w:t>
      </w:r>
      <w:r>
        <w:rPr>
          <w:rFonts w:ascii="Calibri" w:eastAsia="Calibri" w:hAnsi="Calibri" w:cs="Calibri"/>
          <w:color w:val="000000"/>
          <w:sz w:val="21"/>
          <w:szCs w:val="21"/>
        </w:rPr>
        <w:t xml:space="preserve"> úpadku a způsobech jeho řešení (dále jen „IZ“). Prodávající je tak osobou, která je oprávněna s předmětem prodeje disponovat a je na základě zvláštního právního předpisu oprávněna předmět prodeje zcizit.</w:t>
      </w:r>
    </w:p>
    <w:p w14:paraId="00000022" w14:textId="77777777" w:rsidR="00975C6A" w:rsidRDefault="00975C6A">
      <w:pPr>
        <w:pBdr>
          <w:top w:val="nil"/>
          <w:left w:val="nil"/>
          <w:bottom w:val="nil"/>
          <w:right w:val="nil"/>
          <w:between w:val="nil"/>
        </w:pBdr>
        <w:ind w:left="720" w:right="49"/>
        <w:rPr>
          <w:rFonts w:ascii="Calibri" w:eastAsia="Calibri" w:hAnsi="Calibri" w:cs="Calibri"/>
          <w:b/>
          <w:color w:val="000000"/>
          <w:sz w:val="21"/>
          <w:szCs w:val="21"/>
        </w:rPr>
      </w:pPr>
    </w:p>
    <w:p w14:paraId="00000023" w14:textId="77777777" w:rsidR="00975C6A" w:rsidRDefault="00B34882">
      <w:pPr>
        <w:widowControl w:val="0"/>
        <w:numPr>
          <w:ilvl w:val="0"/>
          <w:numId w:val="3"/>
        </w:numPr>
        <w:pBdr>
          <w:top w:val="nil"/>
          <w:left w:val="nil"/>
          <w:bottom w:val="nil"/>
          <w:right w:val="nil"/>
          <w:between w:val="nil"/>
        </w:pBdr>
        <w:ind w:left="0" w:right="49"/>
        <w:jc w:val="both"/>
        <w:rPr>
          <w:rFonts w:ascii="Calibri" w:eastAsia="Calibri" w:hAnsi="Calibri" w:cs="Calibri"/>
          <w:color w:val="000000"/>
          <w:sz w:val="21"/>
          <w:szCs w:val="21"/>
        </w:rPr>
      </w:pPr>
      <w:bookmarkStart w:id="0" w:name="_gjdgxs" w:colFirst="0" w:colLast="0"/>
      <w:bookmarkEnd w:id="0"/>
      <w:r>
        <w:rPr>
          <w:rFonts w:ascii="Calibri" w:eastAsia="Calibri" w:hAnsi="Calibri" w:cs="Calibri"/>
          <w:color w:val="000000"/>
          <w:sz w:val="21"/>
          <w:szCs w:val="21"/>
        </w:rPr>
        <w:t>Prodávající jakožto insolvenční správce dlužníka s</w:t>
      </w:r>
      <w:r>
        <w:rPr>
          <w:rFonts w:ascii="Calibri" w:eastAsia="Calibri" w:hAnsi="Calibri" w:cs="Calibri"/>
          <w:color w:val="000000"/>
          <w:sz w:val="21"/>
          <w:szCs w:val="21"/>
        </w:rPr>
        <w:t xml:space="preserve">epsal dne 15.7.2021 do soupisu majetkové podstaty dlužníka pod položkou I. </w:t>
      </w:r>
      <w:proofErr w:type="spellStart"/>
      <w:r>
        <w:rPr>
          <w:rFonts w:ascii="Calibri" w:eastAsia="Calibri" w:hAnsi="Calibri" w:cs="Calibri"/>
          <w:color w:val="000000"/>
          <w:sz w:val="21"/>
          <w:szCs w:val="21"/>
        </w:rPr>
        <w:t>poř</w:t>
      </w:r>
      <w:proofErr w:type="spellEnd"/>
      <w:r>
        <w:rPr>
          <w:rFonts w:ascii="Calibri" w:eastAsia="Calibri" w:hAnsi="Calibri" w:cs="Calibri"/>
          <w:color w:val="000000"/>
          <w:sz w:val="21"/>
          <w:szCs w:val="21"/>
        </w:rPr>
        <w:t xml:space="preserve">. č. 1 následující nemovité věci: </w:t>
      </w:r>
    </w:p>
    <w:p w14:paraId="00000024"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6416/39 – ostatní plocha, evidovaná výměra 971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manipulační plocha, způsob ochrany – rozsáhlé chráněné území</w:t>
      </w:r>
    </w:p>
    <w:p w14:paraId="00000025"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6974/3 – ostatní plocha, evidovaná výměra 765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jiná plocha, způsob ochrany – rozsáhlé chráněné území</w:t>
      </w:r>
    </w:p>
    <w:p w14:paraId="00000026"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6974/5 – zastavěná plocha a nádvoří, evidovaná výměra 29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27"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 xml:space="preserve">Na pozemku stojí stavba: </w:t>
      </w:r>
      <w:r>
        <w:rPr>
          <w:rFonts w:ascii="Calibri" w:eastAsia="Calibri" w:hAnsi="Calibri" w:cs="Calibri"/>
          <w:color w:val="000000"/>
          <w:sz w:val="21"/>
          <w:szCs w:val="21"/>
        </w:rPr>
        <w:t>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jiná st.</w:t>
      </w:r>
    </w:p>
    <w:p w14:paraId="00000028"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6980 – zastavěná plocha a nádvoří, evidovaná výměra 640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29"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Součástí je stavba:</w:t>
      </w:r>
      <w:r>
        <w:rPr>
          <w:rFonts w:ascii="Calibri" w:eastAsia="Calibri" w:hAnsi="Calibri" w:cs="Calibri"/>
          <w:color w:val="000000"/>
          <w:sz w:val="21"/>
          <w:szCs w:val="21"/>
        </w:rPr>
        <w:t xml:space="preserve"> 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prům.obj</w:t>
      </w:r>
    </w:p>
    <w:p w14:paraId="0000002A" w14:textId="77777777" w:rsidR="00975C6A" w:rsidRDefault="00B34882">
      <w:pPr>
        <w:ind w:left="1560"/>
        <w:rPr>
          <w:rFonts w:ascii="Calibri" w:eastAsia="Calibri" w:hAnsi="Calibri" w:cs="Calibri"/>
          <w:sz w:val="21"/>
          <w:szCs w:val="21"/>
        </w:rPr>
      </w:pPr>
      <w:r>
        <w:rPr>
          <w:rFonts w:ascii="Calibri" w:eastAsia="Calibri" w:hAnsi="Calibri" w:cs="Calibri"/>
          <w:i/>
          <w:sz w:val="21"/>
          <w:szCs w:val="21"/>
        </w:rPr>
        <w:t xml:space="preserve">Stavba stojí na pozemku </w:t>
      </w:r>
      <w:proofErr w:type="spellStart"/>
      <w:r>
        <w:rPr>
          <w:rFonts w:ascii="Calibri" w:eastAsia="Calibri" w:hAnsi="Calibri" w:cs="Calibri"/>
          <w:i/>
          <w:sz w:val="21"/>
          <w:szCs w:val="21"/>
        </w:rPr>
        <w:t>p.č</w:t>
      </w:r>
      <w:proofErr w:type="spellEnd"/>
      <w:r>
        <w:rPr>
          <w:rFonts w:ascii="Calibri" w:eastAsia="Calibri" w:hAnsi="Calibri" w:cs="Calibri"/>
          <w:i/>
          <w:sz w:val="21"/>
          <w:szCs w:val="21"/>
        </w:rPr>
        <w:t>.:</w:t>
      </w:r>
      <w:r>
        <w:rPr>
          <w:rFonts w:ascii="Calibri" w:eastAsia="Calibri" w:hAnsi="Calibri" w:cs="Calibri"/>
          <w:sz w:val="21"/>
          <w:szCs w:val="21"/>
        </w:rPr>
        <w:t xml:space="preserve">  6980</w:t>
      </w:r>
    </w:p>
    <w:p w14:paraId="0000002B"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lastRenderedPageBreak/>
        <w:t>pozemek p. č. 6981 – zastavěná plocha a nádvoří, evidovaná výměra 1333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2C"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Součástí je stavba:</w:t>
      </w:r>
      <w:r>
        <w:rPr>
          <w:rFonts w:ascii="Calibri" w:eastAsia="Calibri" w:hAnsi="Calibri" w:cs="Calibri"/>
          <w:color w:val="000000"/>
          <w:sz w:val="21"/>
          <w:szCs w:val="21"/>
        </w:rPr>
        <w:t xml:space="preserve"> 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výroba</w:t>
      </w:r>
    </w:p>
    <w:p w14:paraId="0000002D" w14:textId="77777777" w:rsidR="00975C6A" w:rsidRDefault="00B34882">
      <w:pPr>
        <w:ind w:left="1560"/>
        <w:rPr>
          <w:rFonts w:ascii="Calibri" w:eastAsia="Calibri" w:hAnsi="Calibri" w:cs="Calibri"/>
          <w:sz w:val="21"/>
          <w:szCs w:val="21"/>
        </w:rPr>
      </w:pPr>
      <w:r>
        <w:rPr>
          <w:rFonts w:ascii="Calibri" w:eastAsia="Calibri" w:hAnsi="Calibri" w:cs="Calibri"/>
          <w:i/>
          <w:sz w:val="21"/>
          <w:szCs w:val="21"/>
        </w:rPr>
        <w:t xml:space="preserve">Stavba stojí na pozemku </w:t>
      </w:r>
      <w:proofErr w:type="spellStart"/>
      <w:r>
        <w:rPr>
          <w:rFonts w:ascii="Calibri" w:eastAsia="Calibri" w:hAnsi="Calibri" w:cs="Calibri"/>
          <w:i/>
          <w:sz w:val="21"/>
          <w:szCs w:val="21"/>
        </w:rPr>
        <w:t>p.č</w:t>
      </w:r>
      <w:proofErr w:type="spellEnd"/>
      <w:r>
        <w:rPr>
          <w:rFonts w:ascii="Calibri" w:eastAsia="Calibri" w:hAnsi="Calibri" w:cs="Calibri"/>
          <w:i/>
          <w:sz w:val="21"/>
          <w:szCs w:val="21"/>
        </w:rPr>
        <w:t>.:</w:t>
      </w:r>
      <w:r>
        <w:rPr>
          <w:rFonts w:ascii="Calibri" w:eastAsia="Calibri" w:hAnsi="Calibri" w:cs="Calibri"/>
          <w:sz w:val="21"/>
          <w:szCs w:val="21"/>
        </w:rPr>
        <w:t xml:space="preserve">  6981</w:t>
      </w:r>
    </w:p>
    <w:p w14:paraId="0000002E"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 xml:space="preserve">pozemek p. č. </w:t>
      </w:r>
      <w:r>
        <w:rPr>
          <w:rFonts w:ascii="Calibri" w:eastAsia="Calibri" w:hAnsi="Calibri" w:cs="Calibri"/>
          <w:color w:val="000000"/>
          <w:sz w:val="21"/>
          <w:szCs w:val="21"/>
        </w:rPr>
        <w:t>6982/2 – ostatní plocha, evidovaná výměra 938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manipulační plocha, způsob ochrany – rozsáhlé chráněné území</w:t>
      </w:r>
    </w:p>
    <w:p w14:paraId="0000002F"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6982/3 – zastavěná plocha a nádvoří, evidovaná výměra 682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30"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Součástí je</w:t>
      </w:r>
      <w:r>
        <w:rPr>
          <w:rFonts w:ascii="Calibri" w:eastAsia="Calibri" w:hAnsi="Calibri" w:cs="Calibri"/>
          <w:i/>
          <w:color w:val="000000"/>
          <w:sz w:val="21"/>
          <w:szCs w:val="21"/>
        </w:rPr>
        <w:t xml:space="preserve"> stavba:</w:t>
      </w:r>
      <w:r>
        <w:rPr>
          <w:rFonts w:ascii="Calibri" w:eastAsia="Calibri" w:hAnsi="Calibri" w:cs="Calibri"/>
          <w:color w:val="000000"/>
          <w:sz w:val="21"/>
          <w:szCs w:val="21"/>
        </w:rPr>
        <w:t xml:space="preserve"> 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výroba</w:t>
      </w:r>
    </w:p>
    <w:p w14:paraId="00000031" w14:textId="77777777" w:rsidR="00975C6A" w:rsidRDefault="00B34882">
      <w:pPr>
        <w:ind w:left="1560"/>
        <w:rPr>
          <w:rFonts w:ascii="Calibri" w:eastAsia="Calibri" w:hAnsi="Calibri" w:cs="Calibri"/>
          <w:sz w:val="21"/>
          <w:szCs w:val="21"/>
        </w:rPr>
      </w:pPr>
      <w:r>
        <w:rPr>
          <w:rFonts w:ascii="Calibri" w:eastAsia="Calibri" w:hAnsi="Calibri" w:cs="Calibri"/>
          <w:i/>
          <w:sz w:val="21"/>
          <w:szCs w:val="21"/>
        </w:rPr>
        <w:t xml:space="preserve">Stavba stojí na pozemku </w:t>
      </w:r>
      <w:proofErr w:type="spellStart"/>
      <w:r>
        <w:rPr>
          <w:rFonts w:ascii="Calibri" w:eastAsia="Calibri" w:hAnsi="Calibri" w:cs="Calibri"/>
          <w:i/>
          <w:sz w:val="21"/>
          <w:szCs w:val="21"/>
        </w:rPr>
        <w:t>p.č</w:t>
      </w:r>
      <w:proofErr w:type="spellEnd"/>
      <w:r>
        <w:rPr>
          <w:rFonts w:ascii="Calibri" w:eastAsia="Calibri" w:hAnsi="Calibri" w:cs="Calibri"/>
          <w:i/>
          <w:sz w:val="21"/>
          <w:szCs w:val="21"/>
        </w:rPr>
        <w:t>.:</w:t>
      </w:r>
      <w:r>
        <w:rPr>
          <w:rFonts w:ascii="Calibri" w:eastAsia="Calibri" w:hAnsi="Calibri" w:cs="Calibri"/>
          <w:sz w:val="21"/>
          <w:szCs w:val="21"/>
        </w:rPr>
        <w:t xml:space="preserve">  6982/3</w:t>
      </w:r>
    </w:p>
    <w:p w14:paraId="00000032"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6982/6 – zastavěná plocha a nádvoří, evidovaná výměra 140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33"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Součástí je stavba:</w:t>
      </w:r>
      <w:r>
        <w:rPr>
          <w:rFonts w:ascii="Calibri" w:eastAsia="Calibri" w:hAnsi="Calibri" w:cs="Calibri"/>
          <w:color w:val="000000"/>
          <w:sz w:val="21"/>
          <w:szCs w:val="21"/>
        </w:rPr>
        <w:t xml:space="preserve"> 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xml:space="preserve">., </w:t>
      </w:r>
      <w:proofErr w:type="spellStart"/>
      <w:r>
        <w:rPr>
          <w:rFonts w:ascii="Calibri" w:eastAsia="Calibri" w:hAnsi="Calibri" w:cs="Calibri"/>
          <w:color w:val="000000"/>
          <w:sz w:val="21"/>
          <w:szCs w:val="21"/>
        </w:rPr>
        <w:t>adminis</w:t>
      </w:r>
      <w:proofErr w:type="spellEnd"/>
      <w:r>
        <w:rPr>
          <w:rFonts w:ascii="Calibri" w:eastAsia="Calibri" w:hAnsi="Calibri" w:cs="Calibri"/>
          <w:color w:val="000000"/>
          <w:sz w:val="21"/>
          <w:szCs w:val="21"/>
        </w:rPr>
        <w:t>.</w:t>
      </w:r>
    </w:p>
    <w:p w14:paraId="00000034" w14:textId="77777777" w:rsidR="00975C6A" w:rsidRDefault="00B34882">
      <w:pPr>
        <w:ind w:left="1560"/>
        <w:rPr>
          <w:rFonts w:ascii="Calibri" w:eastAsia="Calibri" w:hAnsi="Calibri" w:cs="Calibri"/>
          <w:sz w:val="21"/>
          <w:szCs w:val="21"/>
        </w:rPr>
      </w:pPr>
      <w:r>
        <w:rPr>
          <w:rFonts w:ascii="Calibri" w:eastAsia="Calibri" w:hAnsi="Calibri" w:cs="Calibri"/>
          <w:i/>
          <w:sz w:val="21"/>
          <w:szCs w:val="21"/>
        </w:rPr>
        <w:t xml:space="preserve">Stavba stojí na pozemku </w:t>
      </w:r>
      <w:proofErr w:type="spellStart"/>
      <w:r>
        <w:rPr>
          <w:rFonts w:ascii="Calibri" w:eastAsia="Calibri" w:hAnsi="Calibri" w:cs="Calibri"/>
          <w:i/>
          <w:sz w:val="21"/>
          <w:szCs w:val="21"/>
        </w:rPr>
        <w:t>p.č</w:t>
      </w:r>
      <w:proofErr w:type="spellEnd"/>
      <w:r>
        <w:rPr>
          <w:rFonts w:ascii="Calibri" w:eastAsia="Calibri" w:hAnsi="Calibri" w:cs="Calibri"/>
          <w:i/>
          <w:sz w:val="21"/>
          <w:szCs w:val="21"/>
        </w:rPr>
        <w:t>.:</w:t>
      </w:r>
      <w:r>
        <w:rPr>
          <w:rFonts w:ascii="Calibri" w:eastAsia="Calibri" w:hAnsi="Calibri" w:cs="Calibri"/>
          <w:sz w:val="21"/>
          <w:szCs w:val="21"/>
        </w:rPr>
        <w:t xml:space="preserve">  6982/6</w:t>
      </w:r>
    </w:p>
    <w:p w14:paraId="00000035"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6982/7 – zastavěná plocha a nádvoří, evidovaná výměra 840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36"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Součástí je stavba:</w:t>
      </w:r>
      <w:r>
        <w:rPr>
          <w:rFonts w:ascii="Calibri" w:eastAsia="Calibri" w:hAnsi="Calibri" w:cs="Calibri"/>
          <w:color w:val="000000"/>
          <w:sz w:val="21"/>
          <w:szCs w:val="21"/>
        </w:rPr>
        <w:t xml:space="preserve"> 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jiná st.</w:t>
      </w:r>
    </w:p>
    <w:p w14:paraId="00000037" w14:textId="77777777" w:rsidR="00975C6A" w:rsidRDefault="00B34882">
      <w:pPr>
        <w:ind w:left="1560"/>
        <w:rPr>
          <w:rFonts w:ascii="Calibri" w:eastAsia="Calibri" w:hAnsi="Calibri" w:cs="Calibri"/>
          <w:sz w:val="21"/>
          <w:szCs w:val="21"/>
        </w:rPr>
      </w:pPr>
      <w:r>
        <w:rPr>
          <w:rFonts w:ascii="Calibri" w:eastAsia="Calibri" w:hAnsi="Calibri" w:cs="Calibri"/>
          <w:i/>
          <w:sz w:val="21"/>
          <w:szCs w:val="21"/>
        </w:rPr>
        <w:t xml:space="preserve">Stavba stojí na pozemku </w:t>
      </w:r>
      <w:proofErr w:type="spellStart"/>
      <w:r>
        <w:rPr>
          <w:rFonts w:ascii="Calibri" w:eastAsia="Calibri" w:hAnsi="Calibri" w:cs="Calibri"/>
          <w:i/>
          <w:sz w:val="21"/>
          <w:szCs w:val="21"/>
        </w:rPr>
        <w:t>p.č</w:t>
      </w:r>
      <w:proofErr w:type="spellEnd"/>
      <w:r>
        <w:rPr>
          <w:rFonts w:ascii="Calibri" w:eastAsia="Calibri" w:hAnsi="Calibri" w:cs="Calibri"/>
          <w:i/>
          <w:sz w:val="21"/>
          <w:szCs w:val="21"/>
        </w:rPr>
        <w:t>.:</w:t>
      </w:r>
      <w:r>
        <w:rPr>
          <w:rFonts w:ascii="Calibri" w:eastAsia="Calibri" w:hAnsi="Calibri" w:cs="Calibri"/>
          <w:sz w:val="21"/>
          <w:szCs w:val="21"/>
        </w:rPr>
        <w:t xml:space="preserve">  6982/7</w:t>
      </w:r>
    </w:p>
    <w:p w14:paraId="00000038"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6982/8 – zastavěná plocha a nádvoří, evidovaná výměra 87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39"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 xml:space="preserve">Na pozemku stojí stavba: </w:t>
      </w:r>
      <w:r>
        <w:rPr>
          <w:rFonts w:ascii="Calibri" w:eastAsia="Calibri" w:hAnsi="Calibri" w:cs="Calibri"/>
          <w:color w:val="000000"/>
          <w:sz w:val="21"/>
          <w:szCs w:val="21"/>
        </w:rPr>
        <w:t>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jiná st.</w:t>
      </w:r>
    </w:p>
    <w:p w14:paraId="0000003A"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6984/4 – ostatní plocha, ev</w:t>
      </w:r>
      <w:r>
        <w:rPr>
          <w:rFonts w:ascii="Calibri" w:eastAsia="Calibri" w:hAnsi="Calibri" w:cs="Calibri"/>
          <w:color w:val="000000"/>
          <w:sz w:val="21"/>
          <w:szCs w:val="21"/>
        </w:rPr>
        <w:t>idovaná výměra 590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jiná plocha, způsob ochrany – rozsáhlé chráněné území</w:t>
      </w:r>
    </w:p>
    <w:p w14:paraId="0000003B"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6984/7 – ostatní plocha, evidovaná výměra 508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jiná plocha, způsob ochrany – rozsáhlé chráněné území</w:t>
      </w:r>
    </w:p>
    <w:p w14:paraId="0000003C"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6984/9 – zast</w:t>
      </w:r>
      <w:r>
        <w:rPr>
          <w:rFonts w:ascii="Calibri" w:eastAsia="Calibri" w:hAnsi="Calibri" w:cs="Calibri"/>
          <w:color w:val="000000"/>
          <w:sz w:val="21"/>
          <w:szCs w:val="21"/>
        </w:rPr>
        <w:t>avěná plocha a nádvoří, evidovaná výměra 1825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w:t>
      </w:r>
    </w:p>
    <w:p w14:paraId="0000003D" w14:textId="77777777" w:rsidR="00975C6A" w:rsidRDefault="00B34882">
      <w:pPr>
        <w:pBdr>
          <w:top w:val="nil"/>
          <w:left w:val="nil"/>
          <w:bottom w:val="nil"/>
          <w:right w:val="nil"/>
          <w:between w:val="nil"/>
        </w:pBdr>
        <w:spacing w:before="120" w:after="120"/>
        <w:ind w:left="1560"/>
        <w:jc w:val="both"/>
        <w:rPr>
          <w:rFonts w:ascii="Calibri" w:eastAsia="Calibri" w:hAnsi="Calibri" w:cs="Calibri"/>
          <w:color w:val="000000"/>
          <w:sz w:val="21"/>
          <w:szCs w:val="21"/>
        </w:rPr>
      </w:pPr>
      <w:r>
        <w:rPr>
          <w:rFonts w:ascii="Calibri" w:eastAsia="Calibri" w:hAnsi="Calibri" w:cs="Calibri"/>
          <w:i/>
          <w:color w:val="000000"/>
          <w:sz w:val="21"/>
          <w:szCs w:val="21"/>
        </w:rPr>
        <w:t xml:space="preserve">Na pozemku stojí stavba: </w:t>
      </w:r>
      <w:r>
        <w:rPr>
          <w:rFonts w:ascii="Calibri" w:eastAsia="Calibri" w:hAnsi="Calibri" w:cs="Calibri"/>
          <w:color w:val="000000"/>
          <w:sz w:val="21"/>
          <w:szCs w:val="21"/>
        </w:rPr>
        <w:t>Město Žďár,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w:t>
      </w:r>
    </w:p>
    <w:p w14:paraId="0000003E"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6986 – trvalý travní porost, evidovaná výměra 256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 zemědělský půdní fond</w:t>
      </w:r>
    </w:p>
    <w:p w14:paraId="0000003F"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6988 – ostatní plocha, evidovaná výměra 2383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využití – manipulační plocha, způsob ochrany – rozsáhl</w:t>
      </w:r>
      <w:r>
        <w:rPr>
          <w:rFonts w:ascii="Calibri" w:eastAsia="Calibri" w:hAnsi="Calibri" w:cs="Calibri"/>
          <w:color w:val="000000"/>
          <w:sz w:val="21"/>
          <w:szCs w:val="21"/>
        </w:rPr>
        <w:t>é chráněné území</w:t>
      </w:r>
    </w:p>
    <w:p w14:paraId="00000040"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pozemek p. č. 6989 – trvalý travní porost, evidovaná výměra 6140 m</w:t>
      </w:r>
      <w:r>
        <w:rPr>
          <w:rFonts w:ascii="Calibri" w:eastAsia="Calibri" w:hAnsi="Calibri" w:cs="Calibri"/>
          <w:color w:val="000000"/>
          <w:sz w:val="21"/>
          <w:szCs w:val="21"/>
          <w:vertAlign w:val="superscript"/>
        </w:rPr>
        <w:t>2</w:t>
      </w:r>
      <w:r>
        <w:rPr>
          <w:rFonts w:ascii="Calibri" w:eastAsia="Calibri" w:hAnsi="Calibri" w:cs="Calibri"/>
          <w:color w:val="000000"/>
          <w:sz w:val="21"/>
          <w:szCs w:val="21"/>
        </w:rPr>
        <w:t>, způsob ochrany – rozsáhlé chráněné území, zemědělský půdní fond</w:t>
      </w:r>
    </w:p>
    <w:p w14:paraId="00000041"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stavba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způsob využití – jiná stavba, stojící na parcelách č. 6974/5, 6982/8, zapsáno na LV </w:t>
      </w:r>
      <w:r>
        <w:rPr>
          <w:rFonts w:ascii="Calibri" w:eastAsia="Calibri" w:hAnsi="Calibri" w:cs="Calibri"/>
          <w:color w:val="000000"/>
          <w:sz w:val="21"/>
          <w:szCs w:val="21"/>
        </w:rPr>
        <w:t xml:space="preserve">č. 7915, </w:t>
      </w:r>
    </w:p>
    <w:p w14:paraId="00000042" w14:textId="77777777" w:rsidR="00975C6A" w:rsidRDefault="00B34882">
      <w:pPr>
        <w:numPr>
          <w:ilvl w:val="0"/>
          <w:numId w:val="4"/>
        </w:numPr>
        <w:pBdr>
          <w:top w:val="nil"/>
          <w:left w:val="nil"/>
          <w:bottom w:val="nil"/>
          <w:right w:val="nil"/>
          <w:between w:val="nil"/>
        </w:pBdr>
        <w:spacing w:before="120" w:after="120"/>
        <w:ind w:left="851" w:hanging="357"/>
        <w:jc w:val="both"/>
        <w:rPr>
          <w:rFonts w:ascii="Calibri" w:eastAsia="Calibri" w:hAnsi="Calibri" w:cs="Calibri"/>
          <w:color w:val="000000"/>
          <w:sz w:val="21"/>
          <w:szCs w:val="21"/>
        </w:rPr>
      </w:pPr>
      <w:r>
        <w:rPr>
          <w:rFonts w:ascii="Calibri" w:eastAsia="Calibri" w:hAnsi="Calibri" w:cs="Calibri"/>
          <w:color w:val="000000"/>
          <w:sz w:val="21"/>
          <w:szCs w:val="21"/>
        </w:rPr>
        <w:t>stavba bez č.p./</w:t>
      </w:r>
      <w:proofErr w:type="spellStart"/>
      <w:r>
        <w:rPr>
          <w:rFonts w:ascii="Calibri" w:eastAsia="Calibri" w:hAnsi="Calibri" w:cs="Calibri"/>
          <w:color w:val="000000"/>
          <w:sz w:val="21"/>
          <w:szCs w:val="21"/>
        </w:rPr>
        <w:t>č.e</w:t>
      </w:r>
      <w:proofErr w:type="spellEnd"/>
      <w:r>
        <w:rPr>
          <w:rFonts w:ascii="Calibri" w:eastAsia="Calibri" w:hAnsi="Calibri" w:cs="Calibri"/>
          <w:color w:val="000000"/>
          <w:sz w:val="21"/>
          <w:szCs w:val="21"/>
        </w:rPr>
        <w:t>. , stojící na parcele č. 6984/9, zapsáno na LV č. 7915</w:t>
      </w:r>
    </w:p>
    <w:p w14:paraId="00000043" w14:textId="77777777" w:rsidR="00975C6A" w:rsidRDefault="00B34882">
      <w:pPr>
        <w:jc w:val="both"/>
        <w:rPr>
          <w:rFonts w:ascii="Calibri" w:eastAsia="Calibri" w:hAnsi="Calibri" w:cs="Calibri"/>
          <w:sz w:val="21"/>
          <w:szCs w:val="21"/>
        </w:rPr>
      </w:pPr>
      <w:bookmarkStart w:id="1" w:name="_30j0zll" w:colFirst="0" w:colLast="0"/>
      <w:bookmarkEnd w:id="1"/>
      <w:r>
        <w:rPr>
          <w:rFonts w:ascii="Calibri" w:eastAsia="Calibri" w:hAnsi="Calibri" w:cs="Calibri"/>
          <w:sz w:val="21"/>
          <w:szCs w:val="21"/>
        </w:rPr>
        <w:t xml:space="preserve">vše zapsáno v katastru nemovitostí u Katastrálního úřadu pro kraj Vysočina, Katastrální pracoviště Žďár nad Sázavou, obec Žďár nad Sázavou (okres Žďár nad Sázavou), </w:t>
      </w:r>
      <w:r>
        <w:rPr>
          <w:rFonts w:ascii="Calibri" w:eastAsia="Calibri" w:hAnsi="Calibri" w:cs="Calibri"/>
          <w:b/>
          <w:sz w:val="21"/>
          <w:szCs w:val="21"/>
        </w:rPr>
        <w:t>katast</w:t>
      </w:r>
      <w:r>
        <w:rPr>
          <w:rFonts w:ascii="Calibri" w:eastAsia="Calibri" w:hAnsi="Calibri" w:cs="Calibri"/>
          <w:b/>
          <w:sz w:val="21"/>
          <w:szCs w:val="21"/>
        </w:rPr>
        <w:t>rální území Město Žďár na LV 7915</w:t>
      </w:r>
      <w:r>
        <w:rPr>
          <w:rFonts w:ascii="Calibri" w:eastAsia="Calibri" w:hAnsi="Calibri" w:cs="Calibri"/>
          <w:sz w:val="21"/>
          <w:szCs w:val="21"/>
        </w:rPr>
        <w:t>, dále jen „</w:t>
      </w:r>
      <w:r>
        <w:rPr>
          <w:rFonts w:ascii="Calibri" w:eastAsia="Calibri" w:hAnsi="Calibri" w:cs="Calibri"/>
          <w:i/>
          <w:sz w:val="21"/>
          <w:szCs w:val="21"/>
        </w:rPr>
        <w:t>předmětné nemovitosti</w:t>
      </w:r>
      <w:r>
        <w:rPr>
          <w:rFonts w:ascii="Calibri" w:eastAsia="Calibri" w:hAnsi="Calibri" w:cs="Calibri"/>
          <w:sz w:val="21"/>
          <w:szCs w:val="21"/>
        </w:rPr>
        <w:t>“ nebo také „</w:t>
      </w:r>
      <w:r>
        <w:rPr>
          <w:rFonts w:ascii="Calibri" w:eastAsia="Calibri" w:hAnsi="Calibri" w:cs="Calibri"/>
          <w:i/>
          <w:sz w:val="21"/>
          <w:szCs w:val="21"/>
        </w:rPr>
        <w:t>předmět prodeje</w:t>
      </w:r>
      <w:r>
        <w:rPr>
          <w:rFonts w:ascii="Calibri" w:eastAsia="Calibri" w:hAnsi="Calibri" w:cs="Calibri"/>
          <w:sz w:val="21"/>
          <w:szCs w:val="21"/>
        </w:rPr>
        <w:t>“.</w:t>
      </w:r>
    </w:p>
    <w:p w14:paraId="00000044" w14:textId="77777777" w:rsidR="00975C6A" w:rsidRDefault="00975C6A">
      <w:pPr>
        <w:widowControl w:val="0"/>
        <w:ind w:right="49"/>
        <w:jc w:val="both"/>
        <w:rPr>
          <w:rFonts w:ascii="Calibri" w:eastAsia="Calibri" w:hAnsi="Calibri" w:cs="Calibri"/>
          <w:sz w:val="21"/>
          <w:szCs w:val="21"/>
        </w:rPr>
      </w:pPr>
    </w:p>
    <w:p w14:paraId="00000045" w14:textId="77777777" w:rsidR="00975C6A" w:rsidRDefault="00B34882">
      <w:pPr>
        <w:widowControl w:val="0"/>
        <w:numPr>
          <w:ilvl w:val="0"/>
          <w:numId w:val="3"/>
        </w:numPr>
        <w:pBdr>
          <w:top w:val="nil"/>
          <w:left w:val="nil"/>
          <w:bottom w:val="nil"/>
          <w:right w:val="nil"/>
          <w:between w:val="nil"/>
        </w:pBdr>
        <w:tabs>
          <w:tab w:val="left" w:pos="851"/>
          <w:tab w:val="left" w:pos="5670"/>
          <w:tab w:val="left" w:pos="6521"/>
        </w:tabs>
        <w:ind w:left="0" w:right="49" w:hanging="425"/>
        <w:jc w:val="both"/>
        <w:rPr>
          <w:rFonts w:ascii="Calibri" w:eastAsia="Calibri" w:hAnsi="Calibri" w:cs="Calibri"/>
          <w:color w:val="000000"/>
          <w:sz w:val="21"/>
          <w:szCs w:val="21"/>
        </w:rPr>
      </w:pPr>
      <w:bookmarkStart w:id="2" w:name="_1fob9te" w:colFirst="0" w:colLast="0"/>
      <w:bookmarkEnd w:id="2"/>
      <w:r>
        <w:rPr>
          <w:rFonts w:ascii="Calibri" w:eastAsia="Calibri" w:hAnsi="Calibri" w:cs="Calibri"/>
          <w:b/>
          <w:color w:val="000000"/>
          <w:sz w:val="21"/>
          <w:szCs w:val="21"/>
        </w:rPr>
        <w:t>Prodávající je oprávněn v souladu s ustanovením § 293 IZ na základě pokynu zajištěného věřitele, který je nedílnou součástí této smlouvy jako příloha této smlouvy</w:t>
      </w:r>
      <w:r>
        <w:rPr>
          <w:rFonts w:ascii="Calibri" w:eastAsia="Calibri" w:hAnsi="Calibri" w:cs="Calibri"/>
          <w:color w:val="000000"/>
          <w:sz w:val="21"/>
          <w:szCs w:val="21"/>
        </w:rPr>
        <w:t>, uzavřít tuto kupní smlouvu vedoucí ke zpeněžení výše uvedených nemovitostí prodejem mimo dražbu. Prodávající prohlašuje, že splnil veškeré podmínky vyžadované insolvenčním zákonem pro naplnění účelu této smlouvy. Prodávající prohlašuje, že zajištěný věři</w:t>
      </w:r>
      <w:r>
        <w:rPr>
          <w:rFonts w:ascii="Calibri" w:eastAsia="Calibri" w:hAnsi="Calibri" w:cs="Calibri"/>
          <w:color w:val="000000"/>
          <w:sz w:val="21"/>
          <w:szCs w:val="21"/>
        </w:rPr>
        <w:t>tel Česká spořitelna a.s., jehož pohledávky byly k předmětu prodeje zajištěny jako první v pořadí, byl v insolvenčním řízení již zcela uspokojen na základě usnesení insolvenčního soudu ze dne 18.5.2022, č.j. MSPH 77 INS 1285/2021-B-56. Z tohoto důvodu se v</w:t>
      </w:r>
      <w:r>
        <w:rPr>
          <w:rFonts w:ascii="Calibri" w:eastAsia="Calibri" w:hAnsi="Calibri" w:cs="Calibri"/>
          <w:color w:val="000000"/>
          <w:sz w:val="21"/>
          <w:szCs w:val="21"/>
        </w:rPr>
        <w:t xml:space="preserve">ěřitelem prvním v pořadí </w:t>
      </w:r>
      <w:r>
        <w:rPr>
          <w:rFonts w:ascii="Calibri" w:eastAsia="Calibri" w:hAnsi="Calibri" w:cs="Calibri"/>
          <w:color w:val="000000"/>
          <w:sz w:val="21"/>
          <w:szCs w:val="21"/>
        </w:rPr>
        <w:lastRenderedPageBreak/>
        <w:t>stala společnost Leasing České spořitelny, a.s., jejíž pohledávky uplatněné přihláškou pohledávky č. P56 byly zcela postoupeny na společnost IFIS investiční fond, a.s. na základě usnesení insolvenčního soudu ze dne 8.7.2022, č.j. M</w:t>
      </w:r>
      <w:r>
        <w:rPr>
          <w:rFonts w:ascii="Calibri" w:eastAsia="Calibri" w:hAnsi="Calibri" w:cs="Calibri"/>
          <w:color w:val="000000"/>
          <w:sz w:val="21"/>
          <w:szCs w:val="21"/>
        </w:rPr>
        <w:t xml:space="preserve">SPH 77 INS 1285/2021-P56-8. Tento věřitel je tak oprávněn udělovat insolvenčnímu správci pokyny směřující ke zpeněžení. Zajištěným věřitelem druhým v pořadí byla společnost </w:t>
      </w:r>
      <w:proofErr w:type="spellStart"/>
      <w:r>
        <w:rPr>
          <w:rFonts w:ascii="Calibri" w:eastAsia="Calibri" w:hAnsi="Calibri" w:cs="Calibri"/>
          <w:color w:val="000000"/>
          <w:sz w:val="21"/>
          <w:szCs w:val="21"/>
        </w:rPr>
        <w:t>Formaplast</w:t>
      </w:r>
      <w:proofErr w:type="spellEnd"/>
      <w:r>
        <w:rPr>
          <w:rFonts w:ascii="Calibri" w:eastAsia="Calibri" w:hAnsi="Calibri" w:cs="Calibri"/>
          <w:color w:val="000000"/>
          <w:sz w:val="21"/>
          <w:szCs w:val="21"/>
        </w:rPr>
        <w:t xml:space="preserve"> JH s.r.o., jejíž pohledávky uplatněné přihláškou pohledávky č. P30 byly </w:t>
      </w:r>
      <w:r>
        <w:rPr>
          <w:rFonts w:ascii="Calibri" w:eastAsia="Calibri" w:hAnsi="Calibri" w:cs="Calibri"/>
          <w:color w:val="000000"/>
          <w:sz w:val="21"/>
          <w:szCs w:val="21"/>
        </w:rPr>
        <w:t xml:space="preserve">zcela postoupeny na společnost </w:t>
      </w:r>
      <w:proofErr w:type="spellStart"/>
      <w:r>
        <w:rPr>
          <w:rFonts w:ascii="Calibri" w:eastAsia="Calibri" w:hAnsi="Calibri" w:cs="Calibri"/>
          <w:color w:val="000000"/>
          <w:sz w:val="21"/>
          <w:szCs w:val="21"/>
        </w:rPr>
        <w:t>Power</w:t>
      </w:r>
      <w:proofErr w:type="spellEnd"/>
      <w:r>
        <w:rPr>
          <w:rFonts w:ascii="Calibri" w:eastAsia="Calibri" w:hAnsi="Calibri" w:cs="Calibri"/>
          <w:color w:val="000000"/>
          <w:sz w:val="21"/>
          <w:szCs w:val="21"/>
        </w:rPr>
        <w:t xml:space="preserve"> </w:t>
      </w:r>
      <w:proofErr w:type="spellStart"/>
      <w:r>
        <w:rPr>
          <w:rFonts w:ascii="Calibri" w:eastAsia="Calibri" w:hAnsi="Calibri" w:cs="Calibri"/>
          <w:color w:val="000000"/>
          <w:sz w:val="21"/>
          <w:szCs w:val="21"/>
        </w:rPr>
        <w:t>industry</w:t>
      </w:r>
      <w:proofErr w:type="spellEnd"/>
      <w:r>
        <w:rPr>
          <w:rFonts w:ascii="Calibri" w:eastAsia="Calibri" w:hAnsi="Calibri" w:cs="Calibri"/>
          <w:color w:val="000000"/>
          <w:sz w:val="21"/>
          <w:szCs w:val="21"/>
        </w:rPr>
        <w:t xml:space="preserve"> </w:t>
      </w:r>
      <w:proofErr w:type="spellStart"/>
      <w:r>
        <w:rPr>
          <w:rFonts w:ascii="Calibri" w:eastAsia="Calibri" w:hAnsi="Calibri" w:cs="Calibri"/>
          <w:color w:val="000000"/>
          <w:sz w:val="21"/>
          <w:szCs w:val="21"/>
        </w:rPr>
        <w:t>services</w:t>
      </w:r>
      <w:proofErr w:type="spellEnd"/>
      <w:r>
        <w:rPr>
          <w:rFonts w:ascii="Calibri" w:eastAsia="Calibri" w:hAnsi="Calibri" w:cs="Calibri"/>
          <w:color w:val="000000"/>
          <w:sz w:val="21"/>
          <w:szCs w:val="21"/>
        </w:rPr>
        <w:t xml:space="preserve"> s.r.o. na základě usnesení insolvenčního soudu ze dne 27.1.2022, č.j. MSPH 77 INS 1285/2021-P30-6. Tento věřitel je tak oprávněn vyjádřit souhlas s pokynem zajištěného věřitele prvního v pořadí. </w:t>
      </w:r>
    </w:p>
    <w:p w14:paraId="00000046" w14:textId="77777777" w:rsidR="00975C6A" w:rsidRDefault="00975C6A">
      <w:pPr>
        <w:widowControl w:val="0"/>
        <w:pBdr>
          <w:top w:val="nil"/>
          <w:left w:val="nil"/>
          <w:bottom w:val="nil"/>
          <w:right w:val="nil"/>
          <w:between w:val="nil"/>
        </w:pBdr>
        <w:tabs>
          <w:tab w:val="left" w:pos="851"/>
          <w:tab w:val="left" w:pos="5670"/>
          <w:tab w:val="left" w:pos="6521"/>
        </w:tabs>
        <w:ind w:right="49"/>
        <w:jc w:val="both"/>
        <w:rPr>
          <w:rFonts w:ascii="Calibri" w:eastAsia="Calibri" w:hAnsi="Calibri" w:cs="Calibri"/>
          <w:color w:val="000000"/>
          <w:sz w:val="21"/>
          <w:szCs w:val="21"/>
        </w:rPr>
      </w:pPr>
    </w:p>
    <w:p w14:paraId="00000047" w14:textId="77777777" w:rsidR="00975C6A" w:rsidRDefault="00B34882">
      <w:pPr>
        <w:widowControl w:val="0"/>
        <w:numPr>
          <w:ilvl w:val="0"/>
          <w:numId w:val="3"/>
        </w:numPr>
        <w:pBdr>
          <w:top w:val="nil"/>
          <w:left w:val="nil"/>
          <w:bottom w:val="nil"/>
          <w:right w:val="nil"/>
          <w:between w:val="nil"/>
        </w:pBdr>
        <w:tabs>
          <w:tab w:val="left" w:pos="851"/>
          <w:tab w:val="left" w:pos="5670"/>
          <w:tab w:val="left" w:pos="6521"/>
        </w:tabs>
        <w:ind w:left="0" w:right="49"/>
        <w:jc w:val="both"/>
        <w:rPr>
          <w:rFonts w:ascii="Calibri" w:eastAsia="Calibri" w:hAnsi="Calibri" w:cs="Calibri"/>
          <w:color w:val="000000"/>
          <w:sz w:val="21"/>
          <w:szCs w:val="21"/>
        </w:rPr>
      </w:pPr>
      <w:r>
        <w:rPr>
          <w:rFonts w:ascii="Calibri" w:eastAsia="Calibri" w:hAnsi="Calibri" w:cs="Calibri"/>
          <w:color w:val="000000"/>
          <w:sz w:val="21"/>
          <w:szCs w:val="21"/>
        </w:rPr>
        <w:t>Kupu</w:t>
      </w:r>
      <w:r>
        <w:rPr>
          <w:rFonts w:ascii="Calibri" w:eastAsia="Calibri" w:hAnsi="Calibri" w:cs="Calibri"/>
          <w:color w:val="000000"/>
          <w:sz w:val="21"/>
          <w:szCs w:val="21"/>
        </w:rPr>
        <w:t>jící prohlašuje, že shora uvedená prohlášení prodávajícího o věcném a právním stavu předmětu prodeje, jakož i o průběhu insolvenčního řízení vedeného na dlužníka, bere na vědomí a považuje je pro účely této smlouvy mezi účastníky za nesporné.</w:t>
      </w:r>
    </w:p>
    <w:p w14:paraId="00000048" w14:textId="77777777" w:rsidR="00975C6A" w:rsidRDefault="00975C6A">
      <w:pPr>
        <w:widowControl w:val="0"/>
        <w:pBdr>
          <w:top w:val="nil"/>
          <w:left w:val="nil"/>
          <w:bottom w:val="nil"/>
          <w:right w:val="nil"/>
          <w:between w:val="nil"/>
        </w:pBdr>
        <w:tabs>
          <w:tab w:val="left" w:pos="851"/>
          <w:tab w:val="left" w:pos="5670"/>
          <w:tab w:val="left" w:pos="6521"/>
        </w:tabs>
        <w:ind w:right="49"/>
        <w:jc w:val="both"/>
        <w:rPr>
          <w:rFonts w:ascii="Calibri" w:eastAsia="Calibri" w:hAnsi="Calibri" w:cs="Calibri"/>
          <w:color w:val="000000"/>
          <w:sz w:val="21"/>
          <w:szCs w:val="21"/>
        </w:rPr>
      </w:pPr>
    </w:p>
    <w:p w14:paraId="00000049" w14:textId="77777777" w:rsidR="00975C6A" w:rsidRDefault="00B34882">
      <w:pPr>
        <w:keepNext/>
        <w:numPr>
          <w:ilvl w:val="0"/>
          <w:numId w:val="9"/>
        </w:numPr>
        <w:pBdr>
          <w:top w:val="nil"/>
          <w:left w:val="nil"/>
          <w:bottom w:val="nil"/>
          <w:right w:val="nil"/>
          <w:between w:val="nil"/>
        </w:pBdr>
        <w:ind w:left="0" w:right="51"/>
        <w:jc w:val="center"/>
        <w:rPr>
          <w:rFonts w:ascii="Calibri" w:eastAsia="Calibri" w:hAnsi="Calibri" w:cs="Calibri"/>
          <w:color w:val="000000"/>
          <w:sz w:val="21"/>
          <w:szCs w:val="21"/>
        </w:rPr>
      </w:pPr>
      <w:r>
        <w:rPr>
          <w:rFonts w:ascii="Calibri" w:eastAsia="Calibri" w:hAnsi="Calibri" w:cs="Calibri"/>
          <w:b/>
          <w:color w:val="000000"/>
          <w:sz w:val="21"/>
          <w:szCs w:val="21"/>
        </w:rPr>
        <w:t>Předmět kupní smlouvy</w:t>
      </w:r>
    </w:p>
    <w:p w14:paraId="0000004A" w14:textId="77777777" w:rsidR="00975C6A" w:rsidRDefault="00B34882">
      <w:pPr>
        <w:widowControl w:val="0"/>
        <w:numPr>
          <w:ilvl w:val="0"/>
          <w:numId w:val="10"/>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Prodávající prodává touto smlouvou předmětné nemovitosti specifikované v čl. I. této smlouvy se všemi jejich součástmi a příslušenstvím, včetně všech práv a povinností, do výlučného vlastnictví kupujícího za vzájemně ujednanou kupní c</w:t>
      </w:r>
      <w:r>
        <w:rPr>
          <w:rFonts w:ascii="Calibri" w:eastAsia="Calibri" w:hAnsi="Calibri" w:cs="Calibri"/>
          <w:color w:val="000000"/>
          <w:sz w:val="21"/>
          <w:szCs w:val="21"/>
        </w:rPr>
        <w:t>enu stanovenou v čl. IV. této smlouvy a kupující předmětné nemovitosti specifikované v čl. I. této smlouvy se všemi jejich součástmi a příslušenstvím, do svého výlučného vlastnictví přijímá.</w:t>
      </w:r>
    </w:p>
    <w:p w14:paraId="0000004B"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4C" w14:textId="77777777" w:rsidR="00975C6A" w:rsidRDefault="00B34882">
      <w:pPr>
        <w:keepNext/>
        <w:numPr>
          <w:ilvl w:val="0"/>
          <w:numId w:val="9"/>
        </w:numPr>
        <w:pBdr>
          <w:top w:val="nil"/>
          <w:left w:val="nil"/>
          <w:bottom w:val="nil"/>
          <w:right w:val="nil"/>
          <w:between w:val="nil"/>
        </w:pBdr>
        <w:ind w:left="0" w:right="51"/>
        <w:jc w:val="center"/>
        <w:rPr>
          <w:rFonts w:ascii="Calibri" w:eastAsia="Calibri" w:hAnsi="Calibri" w:cs="Calibri"/>
          <w:b/>
          <w:color w:val="000000"/>
          <w:sz w:val="21"/>
          <w:szCs w:val="21"/>
        </w:rPr>
      </w:pPr>
      <w:r>
        <w:rPr>
          <w:rFonts w:ascii="Calibri" w:eastAsia="Calibri" w:hAnsi="Calibri" w:cs="Calibri"/>
          <w:b/>
          <w:color w:val="000000"/>
          <w:sz w:val="21"/>
          <w:szCs w:val="21"/>
        </w:rPr>
        <w:t>Prohlášení prodávajícího a kupujícího</w:t>
      </w:r>
    </w:p>
    <w:p w14:paraId="0000004D" w14:textId="77777777" w:rsidR="00975C6A" w:rsidRDefault="00B34882">
      <w:pPr>
        <w:widowControl w:val="0"/>
        <w:numPr>
          <w:ilvl w:val="0"/>
          <w:numId w:val="1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Prodávající prohlašuje, že v době od uzavření této smlouvy do doby vkladu vlastnického práva kupujícího do katastru nemovitostí předmět prodeje žádnými zástavními právy, věcnými břemeny, ani nájemními právy nezatíží.</w:t>
      </w:r>
    </w:p>
    <w:p w14:paraId="0000004E"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4F" w14:textId="77777777" w:rsidR="00975C6A" w:rsidRDefault="00B34882">
      <w:pPr>
        <w:widowControl w:val="0"/>
        <w:numPr>
          <w:ilvl w:val="0"/>
          <w:numId w:val="1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Prodávající prohlašuje, že zástavní pr</w:t>
      </w:r>
      <w:r>
        <w:rPr>
          <w:rFonts w:ascii="Calibri" w:eastAsia="Calibri" w:hAnsi="Calibri" w:cs="Calibri"/>
          <w:color w:val="000000"/>
          <w:sz w:val="21"/>
          <w:szCs w:val="21"/>
        </w:rPr>
        <w:t>áva v souladu s ustanovením § 167 odst. 4 IZ zanikají zpeněžením předmětu prodeje. Prodávající prohlašuje, že účinky nařízení výkonu rozhodnutí nebo exekuce, účinky doručení vyrozumění o zahájení exekuce a účinky vydaných exekučních příkazů, ostatní závady</w:t>
      </w:r>
      <w:r>
        <w:rPr>
          <w:rFonts w:ascii="Calibri" w:eastAsia="Calibri" w:hAnsi="Calibri" w:cs="Calibri"/>
          <w:color w:val="000000"/>
          <w:sz w:val="21"/>
          <w:szCs w:val="21"/>
        </w:rPr>
        <w:t xml:space="preserve"> váznoucí na zpeněžovaném majetku, včetně neuplatněných předkupních práv podle § 284 odst. 3 a 4 IZ a včetně závad zapsaných ve veřejném seznamu, v souladu s ustanovením § 285 odst. 1 IZ zanikají také zpeněžením předmětu prodeje. Prodávající prohlašuje, že</w:t>
      </w:r>
      <w:r>
        <w:rPr>
          <w:rFonts w:ascii="Calibri" w:eastAsia="Calibri" w:hAnsi="Calibri" w:cs="Calibri"/>
          <w:color w:val="000000"/>
          <w:sz w:val="21"/>
          <w:szCs w:val="21"/>
        </w:rPr>
        <w:t xml:space="preserve"> v katastru nemovitostí je v okamžiku podpisu této smlouvy evidováno předkupní právo k předmětu prodeje, a to na základě Smlouvy o zřízení věcného předkupního práva ze dne 19.6.2013. Ve smyslu § 284 odst. 2 věty druhé IZ však tímto smluvním předkupním práv</w:t>
      </w:r>
      <w:r>
        <w:rPr>
          <w:rFonts w:ascii="Calibri" w:eastAsia="Calibri" w:hAnsi="Calibri" w:cs="Calibri"/>
          <w:color w:val="000000"/>
          <w:sz w:val="21"/>
          <w:szCs w:val="21"/>
        </w:rPr>
        <w:t xml:space="preserve">em není insolvenční správce při zpeněžení majetkové podstaty vázán. </w:t>
      </w:r>
    </w:p>
    <w:p w14:paraId="00000050"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51" w14:textId="77777777" w:rsidR="00975C6A" w:rsidRDefault="00B34882">
      <w:pPr>
        <w:widowControl w:val="0"/>
        <w:numPr>
          <w:ilvl w:val="0"/>
          <w:numId w:val="1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Prodávající se zavazuje vydat kupujícímu potvrzení insolvenčního správce o zániku věcných práv ve smyslu </w:t>
      </w:r>
      <w:proofErr w:type="spellStart"/>
      <w:r>
        <w:rPr>
          <w:rFonts w:ascii="Calibri" w:eastAsia="Calibri" w:hAnsi="Calibri" w:cs="Calibri"/>
          <w:color w:val="000000"/>
          <w:sz w:val="21"/>
          <w:szCs w:val="21"/>
        </w:rPr>
        <w:t>ust</w:t>
      </w:r>
      <w:proofErr w:type="spellEnd"/>
      <w:r>
        <w:rPr>
          <w:rFonts w:ascii="Calibri" w:eastAsia="Calibri" w:hAnsi="Calibri" w:cs="Calibri"/>
          <w:color w:val="000000"/>
          <w:sz w:val="21"/>
          <w:szCs w:val="21"/>
        </w:rPr>
        <w:t>. § 167 odst. 5 a </w:t>
      </w:r>
      <w:proofErr w:type="spellStart"/>
      <w:r>
        <w:rPr>
          <w:rFonts w:ascii="Calibri" w:eastAsia="Calibri" w:hAnsi="Calibri" w:cs="Calibri"/>
          <w:color w:val="000000"/>
          <w:sz w:val="21"/>
          <w:szCs w:val="21"/>
        </w:rPr>
        <w:t>ust</w:t>
      </w:r>
      <w:proofErr w:type="spellEnd"/>
      <w:r>
        <w:rPr>
          <w:rFonts w:ascii="Calibri" w:eastAsia="Calibri" w:hAnsi="Calibri" w:cs="Calibri"/>
          <w:color w:val="000000"/>
          <w:sz w:val="21"/>
          <w:szCs w:val="21"/>
        </w:rPr>
        <w:t>. § 300 IZ, které bude sloužit jako podklad pro výmaz ome</w:t>
      </w:r>
      <w:r>
        <w:rPr>
          <w:rFonts w:ascii="Calibri" w:eastAsia="Calibri" w:hAnsi="Calibri" w:cs="Calibri"/>
          <w:color w:val="000000"/>
          <w:sz w:val="21"/>
          <w:szCs w:val="21"/>
        </w:rPr>
        <w:t>zení vlastnického práva, váznoucích na předmětu prodeje. Kupující bere na vědomí, že výmaz omezení vlastnického práva k předmětu prodeje bude předmětem vkladového řízení na katastru nemovitostí, přičemž správní poplatek s ním spojený uhradí kupující z vlas</w:t>
      </w:r>
      <w:r>
        <w:rPr>
          <w:rFonts w:ascii="Calibri" w:eastAsia="Calibri" w:hAnsi="Calibri" w:cs="Calibri"/>
          <w:color w:val="000000"/>
          <w:sz w:val="21"/>
          <w:szCs w:val="21"/>
        </w:rPr>
        <w:t>tních prostředků nad rámcem sjednané kupní ceny.</w:t>
      </w:r>
    </w:p>
    <w:p w14:paraId="00000052"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53" w14:textId="77777777" w:rsidR="00975C6A" w:rsidRDefault="00B34882">
      <w:pPr>
        <w:widowControl w:val="0"/>
        <w:numPr>
          <w:ilvl w:val="0"/>
          <w:numId w:val="1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Kupující prohlašuje, že se seznámil s právním i faktickým stavem předmětu prodeje, s jeho umístěním, že mu jsou známy hranice pozemků, a že takto předmět prodeje včetně všech jeho součástí kupuje za dohodnu</w:t>
      </w:r>
      <w:r>
        <w:rPr>
          <w:rFonts w:ascii="Calibri" w:eastAsia="Calibri" w:hAnsi="Calibri" w:cs="Calibri"/>
          <w:color w:val="000000"/>
          <w:sz w:val="21"/>
          <w:szCs w:val="21"/>
        </w:rPr>
        <w:t>tou kupní cenu.</w:t>
      </w:r>
    </w:p>
    <w:p w14:paraId="00000054"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55" w14:textId="77777777" w:rsidR="00975C6A" w:rsidRDefault="00B34882">
      <w:pPr>
        <w:widowControl w:val="0"/>
        <w:numPr>
          <w:ilvl w:val="0"/>
          <w:numId w:val="1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Strana kupující si předmět převodu řádně prohlédla a podpisem této smlouvy se výslovně vzdává svého práva z vadného plnění ve smyslu § 1916 odst. 2 zákona č. 89/2012 Sb.</w:t>
      </w:r>
    </w:p>
    <w:p w14:paraId="00000056"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57"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58" w14:textId="77777777" w:rsidR="00975C6A" w:rsidRDefault="00B34882">
      <w:pPr>
        <w:keepNext/>
        <w:numPr>
          <w:ilvl w:val="0"/>
          <w:numId w:val="9"/>
        </w:numPr>
        <w:pBdr>
          <w:top w:val="nil"/>
          <w:left w:val="nil"/>
          <w:bottom w:val="nil"/>
          <w:right w:val="nil"/>
          <w:between w:val="nil"/>
        </w:pBdr>
        <w:ind w:left="0" w:right="51"/>
        <w:jc w:val="center"/>
        <w:rPr>
          <w:rFonts w:ascii="Calibri" w:eastAsia="Calibri" w:hAnsi="Calibri" w:cs="Calibri"/>
          <w:color w:val="000000"/>
          <w:sz w:val="21"/>
          <w:szCs w:val="21"/>
        </w:rPr>
      </w:pPr>
      <w:r>
        <w:rPr>
          <w:rFonts w:ascii="Calibri" w:eastAsia="Calibri" w:hAnsi="Calibri" w:cs="Calibri"/>
          <w:b/>
          <w:color w:val="000000"/>
          <w:sz w:val="21"/>
          <w:szCs w:val="21"/>
        </w:rPr>
        <w:t>Kupní cena</w:t>
      </w:r>
    </w:p>
    <w:p w14:paraId="00000059" w14:textId="77777777" w:rsidR="00975C6A" w:rsidRDefault="00B34882">
      <w:pPr>
        <w:widowControl w:val="0"/>
        <w:numPr>
          <w:ilvl w:val="0"/>
          <w:numId w:val="1"/>
        </w:numPr>
        <w:pBdr>
          <w:top w:val="nil"/>
          <w:left w:val="nil"/>
          <w:bottom w:val="nil"/>
          <w:right w:val="nil"/>
          <w:between w:val="nil"/>
        </w:pBdr>
        <w:ind w:left="0" w:right="49" w:hanging="425"/>
        <w:jc w:val="both"/>
        <w:rPr>
          <w:rFonts w:ascii="Calibri" w:eastAsia="Calibri" w:hAnsi="Calibri" w:cs="Calibri"/>
          <w:color w:val="000000"/>
          <w:sz w:val="21"/>
          <w:szCs w:val="21"/>
        </w:rPr>
      </w:pPr>
      <w:r>
        <w:rPr>
          <w:rFonts w:ascii="Calibri" w:eastAsia="Calibri" w:hAnsi="Calibri" w:cs="Calibri"/>
          <w:color w:val="000000"/>
          <w:sz w:val="21"/>
          <w:szCs w:val="21"/>
        </w:rPr>
        <w:t xml:space="preserve">Kupní cena za předmět prodeje specifikovaný v čl. I. odst. 3 této smlouvy činí částku celkem ve výši </w:t>
      </w:r>
      <w:r>
        <w:rPr>
          <w:rFonts w:ascii="Calibri" w:eastAsia="Calibri" w:hAnsi="Calibri" w:cs="Calibri"/>
          <w:b/>
          <w:sz w:val="21"/>
          <w:szCs w:val="21"/>
        </w:rPr>
        <w:t>……………….</w:t>
      </w:r>
      <w:r>
        <w:rPr>
          <w:rFonts w:ascii="Calibri" w:eastAsia="Calibri" w:hAnsi="Calibri" w:cs="Calibri"/>
          <w:b/>
          <w:color w:val="000000"/>
          <w:sz w:val="21"/>
          <w:szCs w:val="21"/>
        </w:rPr>
        <w:t>,- Kč</w:t>
      </w:r>
      <w:r>
        <w:rPr>
          <w:rFonts w:ascii="Calibri" w:eastAsia="Calibri" w:hAnsi="Calibri" w:cs="Calibri"/>
          <w:color w:val="000000"/>
          <w:sz w:val="21"/>
          <w:szCs w:val="21"/>
        </w:rPr>
        <w:t xml:space="preserve"> (slovy: </w:t>
      </w:r>
      <w:r>
        <w:rPr>
          <w:rFonts w:ascii="Calibri" w:eastAsia="Calibri" w:hAnsi="Calibri" w:cs="Calibri"/>
          <w:sz w:val="21"/>
          <w:szCs w:val="21"/>
        </w:rPr>
        <w:t>……………………………</w:t>
      </w:r>
      <w:r>
        <w:rPr>
          <w:rFonts w:ascii="Calibri" w:eastAsia="Calibri" w:hAnsi="Calibri" w:cs="Calibri"/>
          <w:color w:val="000000"/>
          <w:sz w:val="21"/>
          <w:szCs w:val="21"/>
        </w:rPr>
        <w:t xml:space="preserve"> korun českých).</w:t>
      </w:r>
    </w:p>
    <w:p w14:paraId="0000005A"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5B" w14:textId="77777777" w:rsidR="00975C6A" w:rsidRDefault="00B34882">
      <w:pPr>
        <w:widowControl w:val="0"/>
        <w:numPr>
          <w:ilvl w:val="0"/>
          <w:numId w:val="1"/>
        </w:numPr>
        <w:pBdr>
          <w:top w:val="nil"/>
          <w:left w:val="nil"/>
          <w:bottom w:val="nil"/>
          <w:right w:val="nil"/>
          <w:between w:val="nil"/>
        </w:pBdr>
        <w:ind w:left="0" w:right="49" w:hanging="425"/>
        <w:jc w:val="both"/>
        <w:rPr>
          <w:rFonts w:ascii="Calibri" w:eastAsia="Calibri" w:hAnsi="Calibri" w:cs="Calibri"/>
          <w:color w:val="000000"/>
          <w:sz w:val="21"/>
          <w:szCs w:val="21"/>
        </w:rPr>
      </w:pPr>
      <w:r>
        <w:rPr>
          <w:rFonts w:ascii="Calibri" w:eastAsia="Calibri" w:hAnsi="Calibri" w:cs="Calibri"/>
          <w:color w:val="000000"/>
          <w:sz w:val="21"/>
          <w:szCs w:val="21"/>
        </w:rPr>
        <w:t xml:space="preserve">Smluvní strany se dohodly na následujícím způsobu úhrady celé kupní ceny za předmětné nemovitosti takto: </w:t>
      </w:r>
    </w:p>
    <w:p w14:paraId="0000005C"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5D" w14:textId="77777777" w:rsidR="00975C6A" w:rsidRDefault="00B34882">
      <w:pPr>
        <w:widowControl w:val="0"/>
        <w:numPr>
          <w:ilvl w:val="0"/>
          <w:numId w:val="6"/>
        </w:numPr>
        <w:pBdr>
          <w:top w:val="nil"/>
          <w:left w:val="nil"/>
          <w:bottom w:val="nil"/>
          <w:right w:val="nil"/>
          <w:between w:val="nil"/>
        </w:pBdr>
        <w:ind w:right="49"/>
        <w:jc w:val="both"/>
        <w:rPr>
          <w:rFonts w:ascii="Calibri" w:eastAsia="Calibri" w:hAnsi="Calibri" w:cs="Calibri"/>
          <w:color w:val="000000"/>
          <w:sz w:val="21"/>
          <w:szCs w:val="21"/>
        </w:rPr>
      </w:pPr>
      <w:r>
        <w:rPr>
          <w:rFonts w:ascii="Calibri" w:eastAsia="Calibri" w:hAnsi="Calibri" w:cs="Calibri"/>
          <w:b/>
          <w:color w:val="000000"/>
          <w:sz w:val="21"/>
          <w:szCs w:val="21"/>
        </w:rPr>
        <w:t xml:space="preserve">část  sjednané kupní ceny </w:t>
      </w:r>
      <w:r>
        <w:rPr>
          <w:rFonts w:ascii="Calibri" w:eastAsia="Calibri" w:hAnsi="Calibri" w:cs="Calibri"/>
          <w:color w:val="000000"/>
          <w:sz w:val="21"/>
          <w:szCs w:val="21"/>
        </w:rPr>
        <w:t xml:space="preserve">za předmětné nemovitosti ve výši </w:t>
      </w:r>
      <w:r>
        <w:rPr>
          <w:rFonts w:ascii="Calibri" w:eastAsia="Calibri" w:hAnsi="Calibri" w:cs="Calibri"/>
          <w:b/>
          <w:color w:val="000000"/>
          <w:sz w:val="21"/>
          <w:szCs w:val="21"/>
          <w:highlight w:val="white"/>
        </w:rPr>
        <w:t>5.000.000</w:t>
      </w:r>
      <w:r>
        <w:rPr>
          <w:rFonts w:ascii="Calibri" w:eastAsia="Calibri" w:hAnsi="Calibri" w:cs="Calibri"/>
          <w:b/>
          <w:color w:val="000000"/>
          <w:sz w:val="21"/>
          <w:szCs w:val="21"/>
        </w:rPr>
        <w:t xml:space="preserve"> </w:t>
      </w:r>
      <w:r>
        <w:rPr>
          <w:rFonts w:ascii="Calibri" w:eastAsia="Calibri" w:hAnsi="Calibri" w:cs="Calibri"/>
          <w:color w:val="000000"/>
          <w:sz w:val="21"/>
          <w:szCs w:val="21"/>
        </w:rPr>
        <w:t xml:space="preserve">Kč (slovy: pět milionů korun českých) kupující uhradil tak, že ji před podpisem kupní smlouvy </w:t>
      </w:r>
      <w:r>
        <w:rPr>
          <w:rFonts w:ascii="Calibri" w:eastAsia="Calibri" w:hAnsi="Calibri" w:cs="Calibri"/>
          <w:b/>
          <w:sz w:val="21"/>
          <w:szCs w:val="21"/>
        </w:rPr>
        <w:t xml:space="preserve">složil </w:t>
      </w:r>
      <w:r>
        <w:rPr>
          <w:rFonts w:ascii="Calibri" w:eastAsia="Calibri" w:hAnsi="Calibri" w:cs="Calibri"/>
          <w:sz w:val="21"/>
          <w:szCs w:val="21"/>
        </w:rPr>
        <w:t xml:space="preserve">na účet dražební společnosti PROKONZULTA, a.s., </w:t>
      </w:r>
      <w:proofErr w:type="spellStart"/>
      <w:r>
        <w:rPr>
          <w:rFonts w:ascii="Calibri" w:eastAsia="Calibri" w:hAnsi="Calibri" w:cs="Calibri"/>
          <w:sz w:val="21"/>
          <w:szCs w:val="21"/>
        </w:rPr>
        <w:t>č.ú</w:t>
      </w:r>
      <w:proofErr w:type="spellEnd"/>
      <w:r>
        <w:rPr>
          <w:rFonts w:ascii="Calibri" w:eastAsia="Calibri" w:hAnsi="Calibri" w:cs="Calibri"/>
          <w:sz w:val="21"/>
          <w:szCs w:val="21"/>
        </w:rPr>
        <w:t>. 123-7499280217/0100, což smluvní strany svým podpisem stvrzují;</w:t>
      </w:r>
    </w:p>
    <w:p w14:paraId="0000005E" w14:textId="77777777" w:rsidR="00975C6A" w:rsidRDefault="00975C6A">
      <w:pPr>
        <w:widowControl w:val="0"/>
        <w:pBdr>
          <w:top w:val="nil"/>
          <w:left w:val="nil"/>
          <w:bottom w:val="nil"/>
          <w:right w:val="nil"/>
          <w:between w:val="nil"/>
        </w:pBdr>
        <w:ind w:left="1440" w:right="49"/>
        <w:jc w:val="both"/>
        <w:rPr>
          <w:rFonts w:ascii="Calibri" w:eastAsia="Calibri" w:hAnsi="Calibri" w:cs="Calibri"/>
          <w:color w:val="000000"/>
          <w:sz w:val="21"/>
          <w:szCs w:val="21"/>
        </w:rPr>
      </w:pPr>
    </w:p>
    <w:p w14:paraId="0000005F" w14:textId="77777777" w:rsidR="00975C6A" w:rsidRDefault="00B34882">
      <w:pPr>
        <w:widowControl w:val="0"/>
        <w:numPr>
          <w:ilvl w:val="0"/>
          <w:numId w:val="6"/>
        </w:numPr>
        <w:pBdr>
          <w:top w:val="nil"/>
          <w:left w:val="nil"/>
          <w:bottom w:val="nil"/>
          <w:right w:val="nil"/>
          <w:between w:val="nil"/>
        </w:pBdr>
        <w:ind w:right="49"/>
        <w:jc w:val="both"/>
        <w:rPr>
          <w:rFonts w:ascii="Calibri" w:eastAsia="Calibri" w:hAnsi="Calibri" w:cs="Calibri"/>
          <w:color w:val="000000"/>
          <w:sz w:val="21"/>
          <w:szCs w:val="21"/>
        </w:rPr>
      </w:pPr>
      <w:r>
        <w:rPr>
          <w:rFonts w:ascii="Calibri" w:eastAsia="Calibri" w:hAnsi="Calibri" w:cs="Calibri"/>
          <w:b/>
          <w:color w:val="000000"/>
          <w:sz w:val="21"/>
          <w:szCs w:val="21"/>
        </w:rPr>
        <w:t>zbývající část</w:t>
      </w:r>
      <w:r>
        <w:rPr>
          <w:rFonts w:ascii="Calibri" w:eastAsia="Calibri" w:hAnsi="Calibri" w:cs="Calibri"/>
          <w:color w:val="000000"/>
          <w:sz w:val="21"/>
          <w:szCs w:val="21"/>
        </w:rPr>
        <w:t xml:space="preserve"> kupní ceny ve výši</w:t>
      </w:r>
      <w:r>
        <w:rPr>
          <w:rFonts w:ascii="Calibri" w:eastAsia="Calibri" w:hAnsi="Calibri" w:cs="Calibri"/>
          <w:sz w:val="21"/>
          <w:szCs w:val="21"/>
        </w:rPr>
        <w:t>…………</w:t>
      </w:r>
      <w:r>
        <w:rPr>
          <w:rFonts w:ascii="Calibri" w:eastAsia="Calibri" w:hAnsi="Calibri" w:cs="Calibri"/>
          <w:sz w:val="21"/>
          <w:szCs w:val="21"/>
        </w:rPr>
        <w:t>…………..</w:t>
      </w:r>
      <w:r>
        <w:rPr>
          <w:rFonts w:ascii="Calibri" w:eastAsia="Calibri" w:hAnsi="Calibri" w:cs="Calibri"/>
          <w:b/>
          <w:color w:val="000000"/>
          <w:sz w:val="21"/>
          <w:szCs w:val="21"/>
        </w:rPr>
        <w:t xml:space="preserve"> </w:t>
      </w:r>
      <w:r>
        <w:rPr>
          <w:rFonts w:ascii="Calibri" w:eastAsia="Calibri" w:hAnsi="Calibri" w:cs="Calibri"/>
          <w:color w:val="000000"/>
          <w:sz w:val="21"/>
          <w:szCs w:val="21"/>
        </w:rPr>
        <w:t xml:space="preserve">Kč (slovy: </w:t>
      </w:r>
      <w:r>
        <w:rPr>
          <w:rFonts w:ascii="Calibri" w:eastAsia="Calibri" w:hAnsi="Calibri" w:cs="Calibri"/>
          <w:sz w:val="21"/>
          <w:szCs w:val="21"/>
        </w:rPr>
        <w:t>………………………</w:t>
      </w:r>
      <w:r>
        <w:rPr>
          <w:rFonts w:ascii="Calibri" w:eastAsia="Calibri" w:hAnsi="Calibri" w:cs="Calibri"/>
          <w:color w:val="000000"/>
          <w:sz w:val="21"/>
          <w:szCs w:val="21"/>
        </w:rPr>
        <w:t xml:space="preserve">) kupující uhradí tak, že ji </w:t>
      </w:r>
      <w:r>
        <w:rPr>
          <w:rFonts w:ascii="Calibri" w:eastAsia="Calibri" w:hAnsi="Calibri" w:cs="Calibri"/>
          <w:b/>
          <w:color w:val="000000"/>
          <w:sz w:val="21"/>
          <w:szCs w:val="21"/>
        </w:rPr>
        <w:t>složí</w:t>
      </w:r>
      <w:r>
        <w:rPr>
          <w:rFonts w:ascii="Calibri" w:eastAsia="Calibri" w:hAnsi="Calibri" w:cs="Calibri"/>
          <w:color w:val="000000"/>
          <w:sz w:val="21"/>
          <w:szCs w:val="21"/>
        </w:rPr>
        <w:t xml:space="preserve"> na účet majetkové podstaty dlužníka (založený insolvenčním správcem pouze pro účely daného insolvenčního řízení), číslo účtu 298462135/0300, VS 42, a to </w:t>
      </w:r>
      <w:r>
        <w:rPr>
          <w:rFonts w:ascii="Calibri" w:eastAsia="Calibri" w:hAnsi="Calibri" w:cs="Calibri"/>
          <w:sz w:val="21"/>
          <w:szCs w:val="21"/>
        </w:rPr>
        <w:t>nejpozději</w:t>
      </w:r>
      <w:r>
        <w:rPr>
          <w:rFonts w:ascii="Calibri" w:eastAsia="Calibri" w:hAnsi="Calibri" w:cs="Calibri"/>
          <w:color w:val="000000"/>
          <w:sz w:val="21"/>
          <w:szCs w:val="21"/>
        </w:rPr>
        <w:t xml:space="preserve"> </w:t>
      </w:r>
      <w:r>
        <w:rPr>
          <w:rFonts w:ascii="Calibri" w:eastAsia="Calibri" w:hAnsi="Calibri" w:cs="Calibri"/>
          <w:b/>
          <w:color w:val="000000"/>
          <w:sz w:val="21"/>
          <w:szCs w:val="21"/>
        </w:rPr>
        <w:t>do 28.4.2023.</w:t>
      </w:r>
    </w:p>
    <w:p w14:paraId="00000060" w14:textId="77777777" w:rsidR="00975C6A" w:rsidRDefault="00975C6A">
      <w:pPr>
        <w:widowControl w:val="0"/>
        <w:ind w:left="1440" w:right="49"/>
        <w:jc w:val="both"/>
        <w:rPr>
          <w:rFonts w:ascii="Calibri" w:eastAsia="Calibri" w:hAnsi="Calibri" w:cs="Calibri"/>
          <w:sz w:val="21"/>
          <w:szCs w:val="21"/>
        </w:rPr>
      </w:pPr>
    </w:p>
    <w:p w14:paraId="00000061" w14:textId="77777777" w:rsidR="00975C6A" w:rsidRDefault="00B34882">
      <w:pPr>
        <w:widowControl w:val="0"/>
        <w:numPr>
          <w:ilvl w:val="0"/>
          <w:numId w:val="1"/>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lastRenderedPageBreak/>
        <w:t>V případě prodlení s úhradou zbývající části kupní ceny je kupující povinen uhradit prodávající smluvní pokutu ve výši složené zálohy, tj. ve výši 5.000.000,- Kč, a současně celá smlouva pozbývá marným uplynutím lhůty pro úhradu kupní ceny účinnosti, přiče</w:t>
      </w:r>
      <w:r>
        <w:rPr>
          <w:rFonts w:ascii="Calibri" w:eastAsia="Calibri" w:hAnsi="Calibri" w:cs="Calibri"/>
          <w:color w:val="000000"/>
          <w:sz w:val="21"/>
          <w:szCs w:val="21"/>
        </w:rPr>
        <w:t>mž oproti nároku na vrácení zálohy prodávající a kupující započítávají nárok na smluvní pokutu a tedy složená záloha se kupujícímu v takovém případě nevrací.</w:t>
      </w:r>
    </w:p>
    <w:p w14:paraId="00000062"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63" w14:textId="77777777" w:rsidR="00975C6A" w:rsidRDefault="00B34882">
      <w:pPr>
        <w:keepNext/>
        <w:numPr>
          <w:ilvl w:val="0"/>
          <w:numId w:val="9"/>
        </w:numPr>
        <w:pBdr>
          <w:top w:val="nil"/>
          <w:left w:val="nil"/>
          <w:bottom w:val="nil"/>
          <w:right w:val="nil"/>
          <w:between w:val="nil"/>
        </w:pBdr>
        <w:ind w:left="782" w:right="51"/>
        <w:jc w:val="center"/>
        <w:rPr>
          <w:rFonts w:ascii="Calibri" w:eastAsia="Calibri" w:hAnsi="Calibri" w:cs="Calibri"/>
          <w:b/>
          <w:color w:val="000000"/>
          <w:sz w:val="21"/>
          <w:szCs w:val="21"/>
        </w:rPr>
      </w:pPr>
      <w:r>
        <w:rPr>
          <w:rFonts w:ascii="Calibri" w:eastAsia="Calibri" w:hAnsi="Calibri" w:cs="Calibri"/>
          <w:b/>
          <w:color w:val="000000"/>
          <w:sz w:val="21"/>
          <w:szCs w:val="21"/>
        </w:rPr>
        <w:t>Řízení o povolení vkladu vlastnického práva</w:t>
      </w:r>
    </w:p>
    <w:p w14:paraId="00000064" w14:textId="77777777" w:rsidR="00975C6A" w:rsidRDefault="00B34882">
      <w:pPr>
        <w:widowControl w:val="0"/>
        <w:numPr>
          <w:ilvl w:val="0"/>
          <w:numId w:val="2"/>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Vlastnické právo a veškerá práva a povinnosti spojené s vlastnictvím předmětu prodeje přejdou na kupujícího dnem vkladu vlastnického práva do katastru nemovitostí. Do této doby jsou účastníci této smlouvy vázáni závazky z ní vyplývajícími.</w:t>
      </w:r>
    </w:p>
    <w:p w14:paraId="00000065"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66" w14:textId="77777777" w:rsidR="00975C6A" w:rsidRDefault="00B34882">
      <w:pPr>
        <w:widowControl w:val="0"/>
        <w:numPr>
          <w:ilvl w:val="0"/>
          <w:numId w:val="2"/>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Účastníci této </w:t>
      </w:r>
      <w:r>
        <w:rPr>
          <w:rFonts w:ascii="Calibri" w:eastAsia="Calibri" w:hAnsi="Calibri" w:cs="Calibri"/>
          <w:color w:val="000000"/>
          <w:sz w:val="21"/>
          <w:szCs w:val="21"/>
        </w:rPr>
        <w:t>smlouvy žádají, aby právní vztahy touto smlouvou založené byly vyznačeny v katastru nemovitostí u Katastrálního úřadu pro kraj Vysočina kraj, Katastrální pracoviště Žďár nad Sázavou. Smluvní strany si poskytnou vzájemnou součinnost k zápisu vlastnického pr</w:t>
      </w:r>
      <w:r>
        <w:rPr>
          <w:rFonts w:ascii="Calibri" w:eastAsia="Calibri" w:hAnsi="Calibri" w:cs="Calibri"/>
          <w:color w:val="000000"/>
          <w:sz w:val="21"/>
          <w:szCs w:val="21"/>
        </w:rPr>
        <w:t>áva kupujícího do katastru nemovitostí.</w:t>
      </w:r>
    </w:p>
    <w:p w14:paraId="00000067"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68" w14:textId="77777777" w:rsidR="00975C6A" w:rsidRDefault="00B34882">
      <w:pPr>
        <w:widowControl w:val="0"/>
        <w:numPr>
          <w:ilvl w:val="0"/>
          <w:numId w:val="2"/>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Návrh na zahájení řízení o povolení vkladu vlastnického práva kupujícího do katastru nemovitostí ke Katastrálnímu úřadu pro kraj Vysočina, Katastrální pracoviště Žďár nad Sázavou, je povinen podat kupující. Pokud kupující nepodá do 14 dní ode dne nabytí úč</w:t>
      </w:r>
      <w:r>
        <w:rPr>
          <w:rFonts w:ascii="Calibri" w:eastAsia="Calibri" w:hAnsi="Calibri" w:cs="Calibri"/>
          <w:color w:val="000000"/>
          <w:sz w:val="21"/>
          <w:szCs w:val="21"/>
        </w:rPr>
        <w:t>innosti čl. II.  této smlouvy návrh na rozhodnutí o povolení vkladu k příslušnému katastrálnímu úřadu, bude návrh podán prodávajícím. Veškeré náklady a poplatky spojené s vkladem do katastru nemovitostí uhradí kupující.</w:t>
      </w:r>
    </w:p>
    <w:p w14:paraId="00000069"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6A" w14:textId="77777777" w:rsidR="00975C6A" w:rsidRDefault="00B34882">
      <w:pPr>
        <w:widowControl w:val="0"/>
        <w:numPr>
          <w:ilvl w:val="0"/>
          <w:numId w:val="2"/>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Pokud by došlo z jakéhokoli důvodu </w:t>
      </w:r>
      <w:r>
        <w:rPr>
          <w:rFonts w:ascii="Calibri" w:eastAsia="Calibri" w:hAnsi="Calibri" w:cs="Calibri"/>
          <w:color w:val="000000"/>
          <w:sz w:val="21"/>
          <w:szCs w:val="21"/>
        </w:rPr>
        <w:t>k zastavení řízení o povolení vkladu vlastnického práva kupujícího na základě této smlouvy či k zamítnutí návrhu na vklad vlastnického práva kupujícího do katastru nemovitostí, zavazují se účastníci této smlouvy do 20 dnů od právní moci rozhodnutí o zastav</w:t>
      </w:r>
      <w:r>
        <w:rPr>
          <w:rFonts w:ascii="Calibri" w:eastAsia="Calibri" w:hAnsi="Calibri" w:cs="Calibri"/>
          <w:color w:val="000000"/>
          <w:sz w:val="21"/>
          <w:szCs w:val="21"/>
        </w:rPr>
        <w:t>ení řízení či zamítnutí návrhu na vklad uzavřít novou kupní smlouvu se stejným obsahem, tj. zejména se shodným předmětem prodeje a kupní cenou, a s odstraněním případných nedostatků, které vedly k zastavení řízení o povolení vkladu či k zamítnutí návrhu na</w:t>
      </w:r>
      <w:r>
        <w:rPr>
          <w:rFonts w:ascii="Calibri" w:eastAsia="Calibri" w:hAnsi="Calibri" w:cs="Calibri"/>
          <w:color w:val="000000"/>
          <w:sz w:val="21"/>
          <w:szCs w:val="21"/>
        </w:rPr>
        <w:t xml:space="preserve"> vklad.</w:t>
      </w:r>
    </w:p>
    <w:p w14:paraId="0000006B"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6C" w14:textId="77777777" w:rsidR="00975C6A" w:rsidRDefault="00B34882">
      <w:pPr>
        <w:keepNext/>
        <w:numPr>
          <w:ilvl w:val="0"/>
          <w:numId w:val="9"/>
        </w:numPr>
        <w:pBdr>
          <w:top w:val="nil"/>
          <w:left w:val="nil"/>
          <w:bottom w:val="nil"/>
          <w:right w:val="nil"/>
          <w:between w:val="nil"/>
        </w:pBdr>
        <w:ind w:left="782" w:right="51"/>
        <w:jc w:val="center"/>
        <w:rPr>
          <w:rFonts w:ascii="Calibri" w:eastAsia="Calibri" w:hAnsi="Calibri" w:cs="Calibri"/>
          <w:b/>
          <w:color w:val="000000"/>
          <w:sz w:val="21"/>
          <w:szCs w:val="21"/>
        </w:rPr>
      </w:pPr>
      <w:r>
        <w:rPr>
          <w:rFonts w:ascii="Calibri" w:eastAsia="Calibri" w:hAnsi="Calibri" w:cs="Calibri"/>
          <w:b/>
          <w:color w:val="000000"/>
          <w:sz w:val="21"/>
          <w:szCs w:val="21"/>
        </w:rPr>
        <w:t>Nebezpečí škody a předání předmětu prodeje</w:t>
      </w:r>
    </w:p>
    <w:p w14:paraId="0000006D" w14:textId="77777777" w:rsidR="00975C6A" w:rsidRDefault="00B34882">
      <w:pPr>
        <w:widowControl w:val="0"/>
        <w:numPr>
          <w:ilvl w:val="0"/>
          <w:numId w:val="5"/>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Nebezpečí škody na předmětu prodeje přechází na kupujícího okamžikem vkladu vlastnického práva kupujícího do katastru nemovitostí nebo okamžikem předání předmětu prodeje, přičemž rozhodující je dřívější z těchto událostí. </w:t>
      </w:r>
    </w:p>
    <w:p w14:paraId="0000006E"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6F" w14:textId="77777777" w:rsidR="00975C6A" w:rsidRDefault="00B34882">
      <w:pPr>
        <w:numPr>
          <w:ilvl w:val="0"/>
          <w:numId w:val="5"/>
        </w:numPr>
        <w:pBdr>
          <w:top w:val="nil"/>
          <w:left w:val="nil"/>
          <w:bottom w:val="nil"/>
          <w:right w:val="nil"/>
          <w:between w:val="nil"/>
        </w:pBdr>
        <w:ind w:left="0"/>
        <w:jc w:val="both"/>
        <w:rPr>
          <w:rFonts w:ascii="Calibri" w:eastAsia="Calibri" w:hAnsi="Calibri" w:cs="Calibri"/>
          <w:color w:val="000000"/>
          <w:sz w:val="21"/>
          <w:szCs w:val="21"/>
        </w:rPr>
      </w:pPr>
      <w:r>
        <w:rPr>
          <w:rFonts w:ascii="Calibri" w:eastAsia="Calibri" w:hAnsi="Calibri" w:cs="Calibri"/>
          <w:color w:val="000000"/>
          <w:sz w:val="21"/>
          <w:szCs w:val="21"/>
        </w:rPr>
        <w:t>Předání a převzetí předmětu prodeje bude uskutečněno nejpozději do 15 dnů ode dne provedení zápisu vkladu vlastnického práva ve prospěch kupujícího, o předání a převzetí bude sepsán písemný protokol. Kupující se zavazuje, že ode dne převzetí předmětu prode</w:t>
      </w:r>
      <w:r>
        <w:rPr>
          <w:rFonts w:ascii="Calibri" w:eastAsia="Calibri" w:hAnsi="Calibri" w:cs="Calibri"/>
          <w:color w:val="000000"/>
          <w:sz w:val="21"/>
          <w:szCs w:val="21"/>
        </w:rPr>
        <w:t>je bude hradit veškeré náklady spojené s jeho užíváním. Veškeré náklady spojené s převzetím předmětu prodeje a jeho vyklizením hradí kupující ze svých výlučných prostředků nad rámec kupní ceny.</w:t>
      </w:r>
    </w:p>
    <w:p w14:paraId="00000070"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71" w14:textId="77777777" w:rsidR="00975C6A" w:rsidRDefault="00B34882">
      <w:pPr>
        <w:widowControl w:val="0"/>
        <w:numPr>
          <w:ilvl w:val="0"/>
          <w:numId w:val="5"/>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Prodávající není oprávněn do dne povolení vkladu vlastnického</w:t>
      </w:r>
      <w:r>
        <w:rPr>
          <w:rFonts w:ascii="Calibri" w:eastAsia="Calibri" w:hAnsi="Calibri" w:cs="Calibri"/>
          <w:color w:val="000000"/>
          <w:sz w:val="21"/>
          <w:szCs w:val="21"/>
        </w:rPr>
        <w:t xml:space="preserve"> práva do katastru nemovitostí předmět prodeje zcizit ani zatížit takovými právy či věcnými břemeny, která by v případě zmaření účelu této smlouvy nešla neprodleně zrušit. </w:t>
      </w:r>
    </w:p>
    <w:p w14:paraId="00000072"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73" w14:textId="77777777" w:rsidR="00975C6A" w:rsidRDefault="00B34882">
      <w:pPr>
        <w:widowControl w:val="0"/>
        <w:numPr>
          <w:ilvl w:val="0"/>
          <w:numId w:val="5"/>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V případě, že kupující či prodávající od této smlouvy platně odstoupí, zavazuje se</w:t>
      </w:r>
      <w:r>
        <w:rPr>
          <w:rFonts w:ascii="Calibri" w:eastAsia="Calibri" w:hAnsi="Calibri" w:cs="Calibri"/>
          <w:color w:val="000000"/>
          <w:sz w:val="21"/>
          <w:szCs w:val="21"/>
        </w:rPr>
        <w:t xml:space="preserve"> kupující ke dni vrácení kupní ceny předmět prodeje, který v souladu s touto smlouvou užíval, předat prodávajícímu a za dobu užívání mu zaplatit úhradu ve výši obvyklého nájemného.</w:t>
      </w:r>
    </w:p>
    <w:p w14:paraId="00000074" w14:textId="77777777" w:rsidR="00975C6A" w:rsidRDefault="00975C6A">
      <w:pPr>
        <w:rPr>
          <w:rFonts w:ascii="Calibri" w:eastAsia="Calibri" w:hAnsi="Calibri" w:cs="Calibri"/>
          <w:sz w:val="21"/>
          <w:szCs w:val="21"/>
        </w:rPr>
      </w:pPr>
    </w:p>
    <w:p w14:paraId="00000075" w14:textId="77777777" w:rsidR="00975C6A" w:rsidRDefault="00B34882">
      <w:pPr>
        <w:widowControl w:val="0"/>
        <w:numPr>
          <w:ilvl w:val="0"/>
          <w:numId w:val="5"/>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Kupující se zavazuje, že prodávajícímu a jím určeným osobám umožní po dobu</w:t>
      </w:r>
      <w:r>
        <w:rPr>
          <w:rFonts w:ascii="Calibri" w:eastAsia="Calibri" w:hAnsi="Calibri" w:cs="Calibri"/>
          <w:color w:val="000000"/>
          <w:sz w:val="21"/>
          <w:szCs w:val="21"/>
        </w:rPr>
        <w:t xml:space="preserve"> šesti měsíců ode dne provedení zápisu vkladu vlastnického práva k nemovitostem ve prospěch kupujícího bezúplatné uskladnění veškerých movitých věcí nacházejících se v prodávaných nemovitostech a které jsou sepsány v majetkové podstatě dlužníka. Za účelem </w:t>
      </w:r>
      <w:r>
        <w:rPr>
          <w:rFonts w:ascii="Calibri" w:eastAsia="Calibri" w:hAnsi="Calibri" w:cs="Calibri"/>
          <w:color w:val="000000"/>
          <w:sz w:val="21"/>
          <w:szCs w:val="21"/>
        </w:rPr>
        <w:t xml:space="preserve">inzerce, zpeněžení a budoucího vyklizení těchto movitých věcí též kupující poskytne prodávajícímu bezúplatně veškerou součinnost spočívající zejména v podobě zpřístupnění areálu, příjezdových cest, vestavěných manipulačních zařízení a podobně. Dojde-li ke </w:t>
      </w:r>
      <w:r>
        <w:rPr>
          <w:rFonts w:ascii="Calibri" w:eastAsia="Calibri" w:hAnsi="Calibri" w:cs="Calibri"/>
          <w:color w:val="000000"/>
          <w:sz w:val="21"/>
          <w:szCs w:val="21"/>
        </w:rPr>
        <w:t xml:space="preserve">zpeněžení uvedených movitých věcí insolvenčním správcem, zavazuje se kupující zachovat stejné podmínky i ve prospěch nabyvatele zpeněžených movitých věcí, a to do uplynutí lhůty uvedené v tomto odstavci. </w:t>
      </w:r>
    </w:p>
    <w:p w14:paraId="00000076" w14:textId="77777777" w:rsidR="00975C6A" w:rsidRDefault="00975C6A">
      <w:pPr>
        <w:widowControl w:val="0"/>
        <w:pBdr>
          <w:top w:val="nil"/>
          <w:left w:val="nil"/>
          <w:bottom w:val="nil"/>
          <w:right w:val="nil"/>
          <w:between w:val="nil"/>
        </w:pBdr>
        <w:ind w:left="60" w:right="49"/>
        <w:jc w:val="both"/>
        <w:rPr>
          <w:rFonts w:ascii="Calibri" w:eastAsia="Calibri" w:hAnsi="Calibri" w:cs="Calibri"/>
          <w:color w:val="000000"/>
          <w:sz w:val="21"/>
          <w:szCs w:val="21"/>
        </w:rPr>
      </w:pPr>
    </w:p>
    <w:p w14:paraId="00000077" w14:textId="77777777" w:rsidR="00975C6A" w:rsidRDefault="00B34882">
      <w:pPr>
        <w:widowControl w:val="0"/>
        <w:numPr>
          <w:ilvl w:val="0"/>
          <w:numId w:val="5"/>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Kupující se dále zavazuje, že ve lhůtě dle odst. 5 výše prodávajícímu a jím určeným osobám bezúplatně umožní přístup k počítačovým systémům nacházejícím se v prodávaných nemovitostech a jejich užívání, a to zejména za účelem vedení účetnictví dlužníka. Ve </w:t>
      </w:r>
      <w:r>
        <w:rPr>
          <w:rFonts w:ascii="Calibri" w:eastAsia="Calibri" w:hAnsi="Calibri" w:cs="Calibri"/>
          <w:color w:val="000000"/>
          <w:sz w:val="21"/>
          <w:szCs w:val="21"/>
        </w:rPr>
        <w:t>stejné lhůtě kupující umožní prodávajícímu a jím určeným osobám zajistit archivaci a odvoz veškerých účetních dokladů dlužníka nacházejících se v prodávaných nemovitostech.</w:t>
      </w:r>
    </w:p>
    <w:p w14:paraId="00000078"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79" w14:textId="77777777" w:rsidR="00975C6A" w:rsidRDefault="00B34882">
      <w:pPr>
        <w:widowControl w:val="0"/>
        <w:pBdr>
          <w:top w:val="nil"/>
          <w:left w:val="nil"/>
          <w:bottom w:val="nil"/>
          <w:right w:val="nil"/>
          <w:between w:val="nil"/>
        </w:pBdr>
        <w:ind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 </w:t>
      </w:r>
    </w:p>
    <w:p w14:paraId="0000007A" w14:textId="77777777" w:rsidR="00975C6A" w:rsidRDefault="00B34882">
      <w:pPr>
        <w:keepNext/>
        <w:numPr>
          <w:ilvl w:val="0"/>
          <w:numId w:val="9"/>
        </w:numPr>
        <w:pBdr>
          <w:top w:val="nil"/>
          <w:left w:val="nil"/>
          <w:bottom w:val="nil"/>
          <w:right w:val="nil"/>
          <w:between w:val="nil"/>
        </w:pBdr>
        <w:ind w:left="782" w:right="51"/>
        <w:jc w:val="center"/>
        <w:rPr>
          <w:rFonts w:ascii="Calibri" w:eastAsia="Calibri" w:hAnsi="Calibri" w:cs="Calibri"/>
          <w:b/>
          <w:color w:val="000000"/>
          <w:sz w:val="21"/>
          <w:szCs w:val="21"/>
        </w:rPr>
      </w:pPr>
      <w:r>
        <w:rPr>
          <w:rFonts w:ascii="Calibri" w:eastAsia="Calibri" w:hAnsi="Calibri" w:cs="Calibri"/>
          <w:b/>
          <w:color w:val="000000"/>
          <w:sz w:val="21"/>
          <w:szCs w:val="21"/>
        </w:rPr>
        <w:t>Závěrečná ustanovení</w:t>
      </w:r>
    </w:p>
    <w:p w14:paraId="0000007B" w14:textId="77777777" w:rsidR="00975C6A" w:rsidRDefault="00B34882">
      <w:pPr>
        <w:widowControl w:val="0"/>
        <w:numPr>
          <w:ilvl w:val="0"/>
          <w:numId w:val="7"/>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b/>
          <w:color w:val="000000"/>
          <w:sz w:val="21"/>
          <w:szCs w:val="21"/>
        </w:rPr>
        <w:t>Smlouva je platná a účinná okamžikem jejího uzavření smluvními stranami, s výjimkou čl. II. této smlouvy, který nabývá účinnosti okamžikem úhrady zbývající části kupní ceny v souladu s čl. IV. této smlouvy</w:t>
      </w:r>
      <w:r>
        <w:rPr>
          <w:rFonts w:ascii="Calibri" w:eastAsia="Calibri" w:hAnsi="Calibri" w:cs="Calibri"/>
          <w:color w:val="000000"/>
          <w:sz w:val="21"/>
          <w:szCs w:val="21"/>
        </w:rPr>
        <w:t xml:space="preserve">. </w:t>
      </w:r>
    </w:p>
    <w:p w14:paraId="0000007C" w14:textId="77777777" w:rsidR="00975C6A" w:rsidRDefault="00975C6A">
      <w:pPr>
        <w:widowControl w:val="0"/>
        <w:pBdr>
          <w:top w:val="nil"/>
          <w:left w:val="nil"/>
          <w:bottom w:val="nil"/>
          <w:right w:val="nil"/>
          <w:between w:val="nil"/>
        </w:pBdr>
        <w:ind w:right="49"/>
        <w:jc w:val="both"/>
        <w:rPr>
          <w:rFonts w:ascii="Calibri" w:eastAsia="Calibri" w:hAnsi="Calibri" w:cs="Calibri"/>
          <w:color w:val="000000"/>
          <w:sz w:val="21"/>
          <w:szCs w:val="21"/>
        </w:rPr>
      </w:pPr>
    </w:p>
    <w:p w14:paraId="0000007D" w14:textId="77777777" w:rsidR="00975C6A" w:rsidRDefault="00B34882">
      <w:pPr>
        <w:widowControl w:val="0"/>
        <w:numPr>
          <w:ilvl w:val="0"/>
          <w:numId w:val="7"/>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lastRenderedPageBreak/>
        <w:t>Smluvní strany tímto souhlasně prohlašují, že v</w:t>
      </w:r>
      <w:r>
        <w:rPr>
          <w:rFonts w:ascii="Calibri" w:eastAsia="Calibri" w:hAnsi="Calibri" w:cs="Calibri"/>
          <w:color w:val="000000"/>
          <w:sz w:val="21"/>
          <w:szCs w:val="21"/>
        </w:rPr>
        <w:t xml:space="preserve"> souvislosti s převodem vlastnického práva k předmětu prodeje na základě této smlouvy mimo ta ujednání, která jsou výslovně uvedena v textu této smlouvy výše, mezi sebou neujednaly ústně ani jinou formou zejména:</w:t>
      </w:r>
    </w:p>
    <w:p w14:paraId="0000007E" w14:textId="77777777" w:rsidR="00975C6A" w:rsidRDefault="00975C6A">
      <w:pPr>
        <w:pBdr>
          <w:top w:val="nil"/>
          <w:left w:val="nil"/>
          <w:bottom w:val="nil"/>
          <w:right w:val="nil"/>
          <w:between w:val="nil"/>
        </w:pBdr>
        <w:ind w:right="49"/>
        <w:jc w:val="both"/>
        <w:rPr>
          <w:rFonts w:ascii="Calibri" w:eastAsia="Calibri" w:hAnsi="Calibri" w:cs="Calibri"/>
          <w:color w:val="000000"/>
          <w:sz w:val="21"/>
          <w:szCs w:val="21"/>
        </w:rPr>
      </w:pPr>
    </w:p>
    <w:p w14:paraId="0000007F"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a) výhradu vlastnického práva,</w:t>
      </w:r>
    </w:p>
    <w:p w14:paraId="00000080"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b) právo zpětné koupě,</w:t>
      </w:r>
    </w:p>
    <w:p w14:paraId="00000081"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c) zákaz zcizení nebo zatížení,</w:t>
      </w:r>
    </w:p>
    <w:p w14:paraId="00000082"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d) výhradu předkupního práva,</w:t>
      </w:r>
    </w:p>
    <w:p w14:paraId="00000083"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e) právo lepšího kupce,</w:t>
      </w:r>
    </w:p>
    <w:p w14:paraId="00000084"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f) právo koupě na zkoušku,</w:t>
      </w:r>
    </w:p>
    <w:p w14:paraId="00000085"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g) ani jakékoli výhrady či podmínky připouštějící změnu nebo zánik práv a povinností z té</w:t>
      </w:r>
      <w:r>
        <w:rPr>
          <w:rFonts w:ascii="Calibri" w:eastAsia="Calibri" w:hAnsi="Calibri" w:cs="Calibri"/>
          <w:color w:val="000000"/>
          <w:sz w:val="21"/>
          <w:szCs w:val="21"/>
        </w:rPr>
        <w:t>to smlouvy,</w:t>
      </w:r>
    </w:p>
    <w:p w14:paraId="00000086" w14:textId="77777777" w:rsidR="00975C6A" w:rsidRDefault="00B34882">
      <w:pPr>
        <w:pBdr>
          <w:top w:val="nil"/>
          <w:left w:val="nil"/>
          <w:bottom w:val="nil"/>
          <w:right w:val="nil"/>
          <w:between w:val="nil"/>
        </w:pBdr>
        <w:ind w:left="851" w:right="49"/>
        <w:jc w:val="both"/>
        <w:rPr>
          <w:rFonts w:ascii="Calibri" w:eastAsia="Calibri" w:hAnsi="Calibri" w:cs="Calibri"/>
          <w:color w:val="000000"/>
          <w:sz w:val="21"/>
          <w:szCs w:val="21"/>
        </w:rPr>
      </w:pPr>
      <w:r>
        <w:rPr>
          <w:rFonts w:ascii="Calibri" w:eastAsia="Calibri" w:hAnsi="Calibri" w:cs="Calibri"/>
          <w:color w:val="000000"/>
          <w:sz w:val="21"/>
          <w:szCs w:val="21"/>
        </w:rPr>
        <w:t>h) nebo jakákoli jiná vedlejší ujednání (např. ujednání o smluvní pokutě).</w:t>
      </w:r>
    </w:p>
    <w:p w14:paraId="00000087" w14:textId="77777777" w:rsidR="00975C6A" w:rsidRDefault="00975C6A">
      <w:pPr>
        <w:pBdr>
          <w:top w:val="nil"/>
          <w:left w:val="nil"/>
          <w:bottom w:val="nil"/>
          <w:right w:val="nil"/>
          <w:between w:val="nil"/>
        </w:pBdr>
        <w:ind w:right="49"/>
        <w:jc w:val="both"/>
        <w:rPr>
          <w:rFonts w:ascii="Calibri" w:eastAsia="Calibri" w:hAnsi="Calibri" w:cs="Calibri"/>
          <w:color w:val="000000"/>
          <w:sz w:val="21"/>
          <w:szCs w:val="21"/>
        </w:rPr>
      </w:pPr>
    </w:p>
    <w:p w14:paraId="00000088" w14:textId="77777777" w:rsidR="00975C6A" w:rsidRDefault="00B34882">
      <w:pPr>
        <w:pBdr>
          <w:top w:val="nil"/>
          <w:left w:val="nil"/>
          <w:bottom w:val="nil"/>
          <w:right w:val="nil"/>
          <w:between w:val="nil"/>
        </w:pBdr>
        <w:ind w:right="49"/>
        <w:jc w:val="both"/>
        <w:rPr>
          <w:rFonts w:ascii="Calibri" w:eastAsia="Calibri" w:hAnsi="Calibri" w:cs="Calibri"/>
          <w:color w:val="000000"/>
          <w:sz w:val="21"/>
          <w:szCs w:val="21"/>
        </w:rPr>
      </w:pPr>
      <w:r>
        <w:rPr>
          <w:rFonts w:ascii="Calibri" w:eastAsia="Calibri" w:hAnsi="Calibri" w:cs="Calibri"/>
          <w:color w:val="000000"/>
          <w:sz w:val="21"/>
          <w:szCs w:val="21"/>
        </w:rPr>
        <w:t>Smluvní strany v dané souvislosti dále ujednávají, že jakákoli vedlejší ujednání při smlouvě, resp. po jejím uzavření mezi nimi musí být učiněna písemně, jinak nejsou a</w:t>
      </w:r>
      <w:r>
        <w:rPr>
          <w:rFonts w:ascii="Calibri" w:eastAsia="Calibri" w:hAnsi="Calibri" w:cs="Calibri"/>
          <w:color w:val="000000"/>
          <w:sz w:val="21"/>
          <w:szCs w:val="21"/>
        </w:rPr>
        <w:t xml:space="preserve">ni platná ani účinná. </w:t>
      </w:r>
    </w:p>
    <w:p w14:paraId="00000089" w14:textId="77777777" w:rsidR="00975C6A" w:rsidRDefault="00975C6A">
      <w:pPr>
        <w:pBdr>
          <w:top w:val="nil"/>
          <w:left w:val="nil"/>
          <w:bottom w:val="nil"/>
          <w:right w:val="nil"/>
          <w:between w:val="nil"/>
        </w:pBdr>
        <w:ind w:right="49"/>
        <w:jc w:val="both"/>
        <w:rPr>
          <w:rFonts w:ascii="Calibri" w:eastAsia="Calibri" w:hAnsi="Calibri" w:cs="Calibri"/>
          <w:color w:val="000000"/>
          <w:sz w:val="21"/>
          <w:szCs w:val="21"/>
        </w:rPr>
      </w:pPr>
    </w:p>
    <w:p w14:paraId="0000008A"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Smluvní strany se dohodly, že ustanovení § 577 NOZ se nepoužije. Určení množstevního, časového, územního nebo jiného rozsahu v této smlouvě je pevně určeno autonomní dohodou smluvních stran a soud není oprávněn do smlouvy jakkoli zasahovat.</w:t>
      </w:r>
    </w:p>
    <w:p w14:paraId="0000008B" w14:textId="77777777" w:rsidR="00975C6A" w:rsidRDefault="00975C6A">
      <w:pPr>
        <w:pBdr>
          <w:top w:val="nil"/>
          <w:left w:val="nil"/>
          <w:bottom w:val="nil"/>
          <w:right w:val="nil"/>
          <w:between w:val="nil"/>
        </w:pBdr>
        <w:ind w:left="60" w:right="49"/>
        <w:jc w:val="both"/>
        <w:rPr>
          <w:rFonts w:ascii="Calibri" w:eastAsia="Calibri" w:hAnsi="Calibri" w:cs="Calibri"/>
          <w:color w:val="000000"/>
          <w:sz w:val="21"/>
          <w:szCs w:val="21"/>
        </w:rPr>
      </w:pPr>
    </w:p>
    <w:p w14:paraId="0000008C"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Smluvní strany se dohodly, že ustanovení § 2000 NOZ se také nepoužije. Smluvní strany se vzdávají práva zrušit smlouvu uzavřenou na dobu delší deseti let s ohledem na její povahu a úmysl stran být jí vázány po celou dobu jejího trvání.</w:t>
      </w:r>
    </w:p>
    <w:p w14:paraId="0000008D"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8E" w14:textId="77777777" w:rsidR="00975C6A" w:rsidRDefault="00B34882">
      <w:pPr>
        <w:widowControl w:val="0"/>
        <w:numPr>
          <w:ilvl w:val="0"/>
          <w:numId w:val="7"/>
        </w:numPr>
        <w:pBdr>
          <w:top w:val="nil"/>
          <w:left w:val="nil"/>
          <w:bottom w:val="nil"/>
          <w:right w:val="nil"/>
          <w:between w:val="nil"/>
        </w:pBdr>
        <w:ind w:left="0" w:right="49"/>
        <w:jc w:val="both"/>
        <w:rPr>
          <w:rFonts w:ascii="Calibri" w:eastAsia="Calibri" w:hAnsi="Calibri" w:cs="Calibri"/>
          <w:color w:val="000000"/>
          <w:sz w:val="21"/>
          <w:szCs w:val="21"/>
        </w:rPr>
      </w:pPr>
      <w:r>
        <w:rPr>
          <w:rFonts w:ascii="Calibri" w:eastAsia="Calibri" w:hAnsi="Calibri" w:cs="Calibri"/>
          <w:color w:val="000000"/>
          <w:sz w:val="21"/>
          <w:szCs w:val="21"/>
        </w:rPr>
        <w:t>Smluvní strany se dohodly, že smlouvu nelze dále postupovat, rovněž pohledávky ze smlouvy nelze dále postoupit.</w:t>
      </w:r>
    </w:p>
    <w:p w14:paraId="0000008F" w14:textId="77777777" w:rsidR="00975C6A" w:rsidRDefault="00975C6A">
      <w:pPr>
        <w:ind w:right="49"/>
        <w:jc w:val="both"/>
        <w:rPr>
          <w:rFonts w:ascii="Calibri" w:eastAsia="Calibri" w:hAnsi="Calibri" w:cs="Calibri"/>
          <w:sz w:val="21"/>
          <w:szCs w:val="21"/>
        </w:rPr>
      </w:pPr>
    </w:p>
    <w:p w14:paraId="00000090"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Smluvní strany prohlašují v souladu s ustanovením § 1765 NOZ, že na sebe převzaly nebezpečí změny okolností. Před uzavřením smlouvy strany zváž</w:t>
      </w:r>
      <w:r>
        <w:rPr>
          <w:rFonts w:ascii="Calibri" w:eastAsia="Calibri" w:hAnsi="Calibri" w:cs="Calibri"/>
          <w:color w:val="000000"/>
          <w:sz w:val="21"/>
          <w:szCs w:val="21"/>
        </w:rPr>
        <w:t>ily plně hospodářskou, ekonomickou i faktickou situaci, jsou si plně vědomy okolností smlouvy a není jim známa skutečnost, která by jim znemožnila nebo výrazně omezila zejména možnost plnit závazky ze smlouvy. Smluvní strany se dohodly, že smlouvu tedy nel</w:t>
      </w:r>
      <w:r>
        <w:rPr>
          <w:rFonts w:ascii="Calibri" w:eastAsia="Calibri" w:hAnsi="Calibri" w:cs="Calibri"/>
          <w:color w:val="000000"/>
          <w:sz w:val="21"/>
          <w:szCs w:val="21"/>
        </w:rPr>
        <w:t>ze měnit rozhodnutím soudu.</w:t>
      </w:r>
    </w:p>
    <w:p w14:paraId="00000091"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2"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Smluvní strany se ve smyslu </w:t>
      </w:r>
      <w:proofErr w:type="spellStart"/>
      <w:r>
        <w:rPr>
          <w:rFonts w:ascii="Calibri" w:eastAsia="Calibri" w:hAnsi="Calibri" w:cs="Calibri"/>
          <w:color w:val="000000"/>
          <w:sz w:val="21"/>
          <w:szCs w:val="21"/>
        </w:rPr>
        <w:t>ust</w:t>
      </w:r>
      <w:proofErr w:type="spellEnd"/>
      <w:r>
        <w:rPr>
          <w:rFonts w:ascii="Calibri" w:eastAsia="Calibri" w:hAnsi="Calibri" w:cs="Calibri"/>
          <w:color w:val="000000"/>
          <w:sz w:val="21"/>
          <w:szCs w:val="21"/>
        </w:rPr>
        <w:t xml:space="preserve">. § 1794 odst. 2 NOZ vzdávají svého práva na zrušení této smlouvy při neúměrném zkrácení ve smyslu </w:t>
      </w:r>
      <w:proofErr w:type="spellStart"/>
      <w:r>
        <w:rPr>
          <w:rFonts w:ascii="Calibri" w:eastAsia="Calibri" w:hAnsi="Calibri" w:cs="Calibri"/>
          <w:color w:val="000000"/>
          <w:sz w:val="21"/>
          <w:szCs w:val="21"/>
        </w:rPr>
        <w:t>ust</w:t>
      </w:r>
      <w:proofErr w:type="spellEnd"/>
      <w:r>
        <w:rPr>
          <w:rFonts w:ascii="Calibri" w:eastAsia="Calibri" w:hAnsi="Calibri" w:cs="Calibri"/>
          <w:color w:val="000000"/>
          <w:sz w:val="21"/>
          <w:szCs w:val="21"/>
        </w:rPr>
        <w:t>. § 1793 NOZ.</w:t>
      </w:r>
    </w:p>
    <w:p w14:paraId="00000093" w14:textId="77777777" w:rsidR="00975C6A" w:rsidRDefault="00975C6A">
      <w:pPr>
        <w:pBdr>
          <w:top w:val="nil"/>
          <w:left w:val="nil"/>
          <w:bottom w:val="nil"/>
          <w:right w:val="nil"/>
          <w:between w:val="nil"/>
        </w:pBdr>
        <w:ind w:left="720"/>
        <w:rPr>
          <w:rFonts w:ascii="Calibri" w:eastAsia="Calibri" w:hAnsi="Calibri" w:cs="Calibri"/>
          <w:color w:val="000000"/>
          <w:sz w:val="21"/>
          <w:szCs w:val="21"/>
        </w:rPr>
      </w:pPr>
    </w:p>
    <w:p w14:paraId="00000094"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Kupující je důkladně seznámen se stavem předmětu prodeje a nabývá jej s vědomím, že může trpět vadami technického charakteru. Kupující dále prohlašuje, že výše kupní ceny byla smluvními stranami dohodnuta s ohledem na výše uvedené skutečnosti. Kupující pro</w:t>
      </w:r>
      <w:r>
        <w:rPr>
          <w:rFonts w:ascii="Calibri" w:eastAsia="Calibri" w:hAnsi="Calibri" w:cs="Calibri"/>
          <w:color w:val="000000"/>
          <w:sz w:val="21"/>
          <w:szCs w:val="21"/>
        </w:rPr>
        <w:t>to nemá právo, z důvodu, že předmět prodeje trpí nějakou vadou, na vrácení celé nebo poměrné části zaplacené kupní ceny. Nastane-li některý z uvedených případů, nejedná se o podstatné porušení této smlouvy a není to důvodem pro odstoupení od této smlouvy.</w:t>
      </w:r>
    </w:p>
    <w:p w14:paraId="00000095"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6"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Právní vztahy výslovně neupravené touto smlouvou se řídí obecnými ustanoveními IZ, NOZ, a právním řádem ČR.</w:t>
      </w:r>
    </w:p>
    <w:p w14:paraId="00000097"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8"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 xml:space="preserve">Tato smlouva obsahuje úplné ujednání o předmětu smlouvy a všech náležitostech, které strany měly a chtěly ve smlouvě ujednat, a které považují za </w:t>
      </w:r>
      <w:r>
        <w:rPr>
          <w:rFonts w:ascii="Calibri" w:eastAsia="Calibri" w:hAnsi="Calibri" w:cs="Calibri"/>
          <w:color w:val="000000"/>
          <w:sz w:val="21"/>
          <w:szCs w:val="21"/>
        </w:rPr>
        <w:t>důležité pro závaznost této smlouvy. Žádný projev stran učiněný při jednání o této smlouvě ani projev učiněný po uzavření této smlouvy nesmí být vykládán v rozporu s výslovnými ustanoveními této smlouvy a nezakládá žádný závazek žádné ze stran.</w:t>
      </w:r>
    </w:p>
    <w:p w14:paraId="00000099"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A"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Tato smlou</w:t>
      </w:r>
      <w:r>
        <w:rPr>
          <w:rFonts w:ascii="Calibri" w:eastAsia="Calibri" w:hAnsi="Calibri" w:cs="Calibri"/>
          <w:color w:val="000000"/>
          <w:sz w:val="21"/>
          <w:szCs w:val="21"/>
        </w:rPr>
        <w:t>va může být měněna pouze písemnými dodatky podepsanými oběma smluvními stranami.</w:t>
      </w:r>
    </w:p>
    <w:p w14:paraId="0000009B"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C" w14:textId="77777777" w:rsidR="00975C6A" w:rsidRDefault="00B34882">
      <w:pPr>
        <w:numPr>
          <w:ilvl w:val="0"/>
          <w:numId w:val="7"/>
        </w:numPr>
        <w:pBdr>
          <w:top w:val="nil"/>
          <w:left w:val="nil"/>
          <w:bottom w:val="nil"/>
          <w:right w:val="nil"/>
          <w:between w:val="nil"/>
        </w:pBdr>
        <w:ind w:left="60" w:right="49"/>
        <w:jc w:val="both"/>
        <w:rPr>
          <w:rFonts w:ascii="Calibri" w:eastAsia="Calibri" w:hAnsi="Calibri" w:cs="Calibri"/>
          <w:color w:val="000000"/>
          <w:sz w:val="21"/>
          <w:szCs w:val="21"/>
        </w:rPr>
      </w:pPr>
      <w:r>
        <w:rPr>
          <w:rFonts w:ascii="Calibri" w:eastAsia="Calibri" w:hAnsi="Calibri" w:cs="Calibri"/>
          <w:color w:val="000000"/>
          <w:sz w:val="21"/>
          <w:szCs w:val="21"/>
        </w:rPr>
        <w:t>Tato smlouva se vyhotovuje ve třech vyhotoveních, z nichž každá ze stran obdrží po jednom vyhotovení a jedno vyhotovení bude použito pro příslušné vkladové řízení.</w:t>
      </w:r>
    </w:p>
    <w:p w14:paraId="0000009D" w14:textId="77777777" w:rsidR="00975C6A" w:rsidRDefault="00975C6A">
      <w:pPr>
        <w:pBdr>
          <w:top w:val="nil"/>
          <w:left w:val="nil"/>
          <w:bottom w:val="nil"/>
          <w:right w:val="nil"/>
          <w:between w:val="nil"/>
        </w:pBdr>
        <w:ind w:left="720" w:right="49"/>
        <w:rPr>
          <w:rFonts w:ascii="Calibri" w:eastAsia="Calibri" w:hAnsi="Calibri" w:cs="Calibri"/>
          <w:color w:val="000000"/>
          <w:sz w:val="21"/>
          <w:szCs w:val="21"/>
        </w:rPr>
      </w:pPr>
    </w:p>
    <w:p w14:paraId="0000009E" w14:textId="77777777" w:rsidR="00975C6A" w:rsidRDefault="00B34882">
      <w:pPr>
        <w:ind w:left="60" w:right="49"/>
        <w:jc w:val="both"/>
        <w:rPr>
          <w:rFonts w:ascii="Calibri" w:eastAsia="Calibri" w:hAnsi="Calibri" w:cs="Calibri"/>
          <w:b/>
          <w:sz w:val="21"/>
          <w:szCs w:val="21"/>
        </w:rPr>
      </w:pPr>
      <w:r>
        <w:rPr>
          <w:rFonts w:ascii="Calibri" w:eastAsia="Calibri" w:hAnsi="Calibri" w:cs="Calibri"/>
          <w:sz w:val="21"/>
          <w:szCs w:val="21"/>
        </w:rPr>
        <w:t>Smluvní strany dále prohlašují s přihlédnutím k ustanovení § 4 NOZ, kdy se má za to, že každá svéprávná osoba má rozum průměrného člověka i schopnost užívat jej s běžnou péčí a opatrností a že to každý od ní může v právním styku důvodně očekávat, že důklad</w:t>
      </w:r>
      <w:r>
        <w:rPr>
          <w:rFonts w:ascii="Calibri" w:eastAsia="Calibri" w:hAnsi="Calibri" w:cs="Calibri"/>
          <w:sz w:val="21"/>
          <w:szCs w:val="21"/>
        </w:rPr>
        <w:t>ně posoudily obsah této smlouvy a neshledávají jej rozporným, což stvrzují svým podpisem. Smluvní strany současně prohlašují, že tato byla uzavřena podle jejich pravé a svobodné vůle, určitě, vážně a srozumitelně, že je jim ve všech ustanoveních jasná a sr</w:t>
      </w:r>
      <w:r>
        <w:rPr>
          <w:rFonts w:ascii="Calibri" w:eastAsia="Calibri" w:hAnsi="Calibri" w:cs="Calibri"/>
          <w:sz w:val="21"/>
          <w:szCs w:val="21"/>
        </w:rPr>
        <w:t>ozumitelná, a že nebyla ujednána v tísni či za nápadně nevýhodných podmínek, na důkaz čehož níže připojují své vlastnoruční podpisy.</w:t>
      </w:r>
    </w:p>
    <w:p w14:paraId="0000009F" w14:textId="77777777" w:rsidR="00975C6A" w:rsidRDefault="00975C6A">
      <w:pPr>
        <w:ind w:left="60" w:right="49"/>
        <w:jc w:val="both"/>
        <w:rPr>
          <w:rFonts w:ascii="Calibri" w:eastAsia="Calibri" w:hAnsi="Calibri" w:cs="Calibri"/>
          <w:b/>
          <w:sz w:val="21"/>
          <w:szCs w:val="21"/>
        </w:rPr>
      </w:pPr>
    </w:p>
    <w:p w14:paraId="000000A0" w14:textId="77777777" w:rsidR="00975C6A" w:rsidRDefault="00975C6A">
      <w:pPr>
        <w:rPr>
          <w:rFonts w:ascii="Calibri" w:eastAsia="Calibri" w:hAnsi="Calibri" w:cs="Calibri"/>
          <w:sz w:val="21"/>
          <w:szCs w:val="21"/>
        </w:rPr>
      </w:pPr>
    </w:p>
    <w:p w14:paraId="000000A1" w14:textId="77777777" w:rsidR="00975C6A" w:rsidRDefault="00B34882">
      <w:pPr>
        <w:rPr>
          <w:rFonts w:ascii="Calibri" w:eastAsia="Calibri" w:hAnsi="Calibri" w:cs="Calibri"/>
          <w:sz w:val="21"/>
          <w:szCs w:val="21"/>
        </w:rPr>
      </w:pPr>
      <w:r>
        <w:rPr>
          <w:rFonts w:ascii="Calibri" w:eastAsia="Calibri" w:hAnsi="Calibri" w:cs="Calibri"/>
          <w:sz w:val="21"/>
          <w:szCs w:val="21"/>
        </w:rPr>
        <w:t>V ………………….…… dne …………………….</w:t>
      </w:r>
      <w:r>
        <w:rPr>
          <w:rFonts w:ascii="Calibri" w:eastAsia="Calibri" w:hAnsi="Calibri" w:cs="Calibri"/>
          <w:sz w:val="21"/>
          <w:szCs w:val="21"/>
        </w:rPr>
        <w:tab/>
        <w:t xml:space="preserve"> </w:t>
      </w:r>
      <w:r>
        <w:rPr>
          <w:rFonts w:ascii="Calibri" w:eastAsia="Calibri" w:hAnsi="Calibri" w:cs="Calibri"/>
          <w:sz w:val="21"/>
          <w:szCs w:val="21"/>
        </w:rPr>
        <w:tab/>
      </w:r>
      <w:r>
        <w:rPr>
          <w:rFonts w:ascii="Calibri" w:eastAsia="Calibri" w:hAnsi="Calibri" w:cs="Calibri"/>
          <w:sz w:val="21"/>
          <w:szCs w:val="21"/>
        </w:rPr>
        <w:tab/>
        <w:t>V ………………….…… dne …………………….</w:t>
      </w:r>
    </w:p>
    <w:p w14:paraId="000000A2" w14:textId="77777777" w:rsidR="00975C6A" w:rsidRDefault="00975C6A">
      <w:pPr>
        <w:rPr>
          <w:rFonts w:ascii="Calibri" w:eastAsia="Calibri" w:hAnsi="Calibri" w:cs="Calibri"/>
          <w:sz w:val="21"/>
          <w:szCs w:val="21"/>
        </w:rPr>
      </w:pPr>
    </w:p>
    <w:p w14:paraId="000000A3" w14:textId="77777777" w:rsidR="00975C6A" w:rsidRDefault="00975C6A">
      <w:pPr>
        <w:tabs>
          <w:tab w:val="left" w:pos="4500"/>
        </w:tabs>
        <w:rPr>
          <w:rFonts w:ascii="Calibri" w:eastAsia="Calibri" w:hAnsi="Calibri" w:cs="Calibri"/>
          <w:sz w:val="21"/>
          <w:szCs w:val="21"/>
        </w:rPr>
      </w:pPr>
    </w:p>
    <w:p w14:paraId="000000A4" w14:textId="77777777" w:rsidR="00975C6A" w:rsidRDefault="00975C6A">
      <w:pPr>
        <w:tabs>
          <w:tab w:val="left" w:pos="4500"/>
        </w:tabs>
        <w:rPr>
          <w:rFonts w:ascii="Calibri" w:eastAsia="Calibri" w:hAnsi="Calibri" w:cs="Calibri"/>
          <w:sz w:val="21"/>
          <w:szCs w:val="21"/>
        </w:rPr>
      </w:pPr>
    </w:p>
    <w:p w14:paraId="000000A5" w14:textId="77777777" w:rsidR="00975C6A" w:rsidRDefault="00B34882">
      <w:pPr>
        <w:tabs>
          <w:tab w:val="left" w:pos="4500"/>
        </w:tabs>
        <w:rPr>
          <w:rFonts w:ascii="Calibri" w:eastAsia="Calibri" w:hAnsi="Calibri" w:cs="Calibri"/>
          <w:sz w:val="21"/>
          <w:szCs w:val="21"/>
        </w:rPr>
      </w:pPr>
      <w:r>
        <w:rPr>
          <w:rFonts w:ascii="Calibri" w:eastAsia="Calibri" w:hAnsi="Calibri" w:cs="Calibri"/>
          <w:sz w:val="21"/>
          <w:szCs w:val="21"/>
        </w:rPr>
        <w:t>………………………………..………………………</w:t>
      </w:r>
      <w:r>
        <w:rPr>
          <w:rFonts w:ascii="Calibri" w:eastAsia="Calibri" w:hAnsi="Calibri" w:cs="Calibri"/>
          <w:sz w:val="21"/>
          <w:szCs w:val="21"/>
        </w:rPr>
        <w:tab/>
      </w:r>
      <w:r>
        <w:rPr>
          <w:rFonts w:ascii="Calibri" w:eastAsia="Calibri" w:hAnsi="Calibri" w:cs="Calibri"/>
          <w:sz w:val="21"/>
          <w:szCs w:val="21"/>
        </w:rPr>
        <w:tab/>
        <w:t>………………………………..………………………</w:t>
      </w:r>
    </w:p>
    <w:p w14:paraId="000000A6" w14:textId="77777777" w:rsidR="00975C6A" w:rsidRDefault="00B34882">
      <w:pPr>
        <w:tabs>
          <w:tab w:val="left" w:pos="4500"/>
        </w:tabs>
        <w:rPr>
          <w:rFonts w:ascii="Calibri" w:eastAsia="Calibri" w:hAnsi="Calibri" w:cs="Calibri"/>
          <w:sz w:val="21"/>
          <w:szCs w:val="21"/>
        </w:rPr>
      </w:pPr>
      <w:r>
        <w:rPr>
          <w:rFonts w:ascii="Calibri" w:eastAsia="Calibri" w:hAnsi="Calibri" w:cs="Calibri"/>
          <w:sz w:val="21"/>
          <w:szCs w:val="21"/>
        </w:rPr>
        <w:t>prodávající</w:t>
      </w:r>
      <w:r>
        <w:rPr>
          <w:rFonts w:ascii="Calibri" w:eastAsia="Calibri" w:hAnsi="Calibri" w:cs="Calibri"/>
          <w:sz w:val="21"/>
          <w:szCs w:val="21"/>
        </w:rPr>
        <w:tab/>
      </w:r>
      <w:r>
        <w:rPr>
          <w:rFonts w:ascii="Calibri" w:eastAsia="Calibri" w:hAnsi="Calibri" w:cs="Calibri"/>
          <w:sz w:val="21"/>
          <w:szCs w:val="21"/>
        </w:rPr>
        <w:tab/>
        <w:t>kupující</w:t>
      </w:r>
    </w:p>
    <w:p w14:paraId="000000A7" w14:textId="1C21A1E0" w:rsidR="00975C6A" w:rsidRDefault="00B34882">
      <w:pPr>
        <w:pBdr>
          <w:top w:val="nil"/>
          <w:left w:val="nil"/>
          <w:bottom w:val="nil"/>
          <w:right w:val="nil"/>
          <w:between w:val="nil"/>
        </w:pBdr>
        <w:jc w:val="both"/>
        <w:rPr>
          <w:rFonts w:ascii="Calibri" w:eastAsia="Calibri" w:hAnsi="Calibri" w:cs="Calibri"/>
          <w:b/>
          <w:sz w:val="21"/>
          <w:szCs w:val="21"/>
        </w:rPr>
      </w:pPr>
      <w:r>
        <w:rPr>
          <w:rFonts w:ascii="Calibri" w:eastAsia="Calibri" w:hAnsi="Calibri" w:cs="Calibri"/>
          <w:b/>
          <w:color w:val="000000"/>
          <w:sz w:val="21"/>
          <w:szCs w:val="21"/>
        </w:rPr>
        <w:t>Správce insolvencí v.o.s.</w:t>
      </w:r>
      <w:r>
        <w:rPr>
          <w:rFonts w:ascii="Calibri" w:eastAsia="Calibri" w:hAnsi="Calibri" w:cs="Calibri"/>
          <w:b/>
          <w:color w:val="000000"/>
          <w:sz w:val="21"/>
          <w:szCs w:val="21"/>
        </w:rPr>
        <w:tab/>
      </w:r>
      <w:r>
        <w:rPr>
          <w:rFonts w:ascii="Calibri" w:eastAsia="Calibri" w:hAnsi="Calibri" w:cs="Calibri"/>
          <w:color w:val="000000"/>
          <w:sz w:val="21"/>
          <w:szCs w:val="21"/>
        </w:rPr>
        <w:tab/>
      </w:r>
      <w:r>
        <w:rPr>
          <w:rFonts w:ascii="Calibri" w:eastAsia="Calibri" w:hAnsi="Calibri" w:cs="Calibri"/>
          <w:color w:val="000000"/>
          <w:sz w:val="21"/>
          <w:szCs w:val="21"/>
        </w:rPr>
        <w:tab/>
      </w:r>
      <w:r>
        <w:rPr>
          <w:rFonts w:ascii="Calibri" w:eastAsia="Calibri" w:hAnsi="Calibri" w:cs="Calibri"/>
          <w:color w:val="000000"/>
          <w:sz w:val="21"/>
          <w:szCs w:val="21"/>
        </w:rPr>
        <w:tab/>
        <w:t xml:space="preserve">    </w:t>
      </w:r>
      <w:r>
        <w:rPr>
          <w:rFonts w:ascii="Calibri" w:eastAsia="Calibri" w:hAnsi="Calibri" w:cs="Calibri"/>
          <w:color w:val="000000"/>
          <w:sz w:val="21"/>
          <w:szCs w:val="21"/>
        </w:rPr>
        <w:tab/>
      </w:r>
      <w:r w:rsidRPr="00B34882">
        <w:rPr>
          <w:rFonts w:ascii="Calibri" w:eastAsia="Calibri" w:hAnsi="Calibri" w:cs="Calibri"/>
          <w:b/>
          <w:sz w:val="21"/>
          <w:szCs w:val="21"/>
          <w:highlight w:val="yellow"/>
        </w:rPr>
        <w:t>…………………………………….</w:t>
      </w:r>
    </w:p>
    <w:p w14:paraId="000000A8" w14:textId="514BD2A2" w:rsidR="00975C6A" w:rsidRDefault="00B34882">
      <w:pPr>
        <w:rPr>
          <w:rFonts w:ascii="Calibri" w:eastAsia="Calibri" w:hAnsi="Calibri" w:cs="Calibri"/>
          <w:sz w:val="21"/>
          <w:szCs w:val="21"/>
        </w:rPr>
      </w:pPr>
      <w:r>
        <w:rPr>
          <w:rFonts w:ascii="Calibri" w:eastAsia="Calibri" w:hAnsi="Calibri" w:cs="Calibri"/>
          <w:sz w:val="21"/>
          <w:szCs w:val="21"/>
          <w:highlight w:val="white"/>
        </w:rPr>
        <w:t>IS dlužníka</w:t>
      </w:r>
      <w:r>
        <w:rPr>
          <w:rFonts w:ascii="Calibri" w:eastAsia="Calibri" w:hAnsi="Calibri" w:cs="Calibri"/>
          <w:b/>
          <w:sz w:val="21"/>
          <w:szCs w:val="21"/>
          <w:highlight w:val="white"/>
        </w:rPr>
        <w:tab/>
      </w:r>
      <w:r>
        <w:rPr>
          <w:rFonts w:ascii="Calibri" w:eastAsia="Calibri" w:hAnsi="Calibri" w:cs="Calibri"/>
          <w:b/>
          <w:sz w:val="21"/>
          <w:szCs w:val="21"/>
          <w:highlight w:val="white"/>
        </w:rPr>
        <w:tab/>
      </w:r>
      <w:r>
        <w:rPr>
          <w:rFonts w:ascii="Calibri" w:eastAsia="Calibri" w:hAnsi="Calibri" w:cs="Calibri"/>
          <w:b/>
          <w:sz w:val="21"/>
          <w:szCs w:val="21"/>
          <w:highlight w:val="white"/>
        </w:rPr>
        <w:tab/>
      </w:r>
      <w:r>
        <w:rPr>
          <w:rFonts w:ascii="Calibri" w:eastAsia="Calibri" w:hAnsi="Calibri" w:cs="Calibri"/>
          <w:b/>
          <w:sz w:val="21"/>
          <w:szCs w:val="21"/>
          <w:highlight w:val="white"/>
        </w:rPr>
        <w:tab/>
      </w:r>
      <w:r>
        <w:rPr>
          <w:rFonts w:ascii="Calibri" w:eastAsia="Calibri" w:hAnsi="Calibri" w:cs="Calibri"/>
          <w:b/>
          <w:sz w:val="21"/>
          <w:szCs w:val="21"/>
          <w:highlight w:val="white"/>
        </w:rPr>
        <w:tab/>
      </w:r>
      <w:r>
        <w:rPr>
          <w:rFonts w:ascii="Calibri" w:eastAsia="Calibri" w:hAnsi="Calibri" w:cs="Calibri"/>
          <w:b/>
          <w:sz w:val="21"/>
          <w:szCs w:val="21"/>
          <w:highlight w:val="white"/>
        </w:rPr>
        <w:tab/>
      </w:r>
    </w:p>
    <w:p w14:paraId="000000A9" w14:textId="77777777" w:rsidR="00975C6A" w:rsidRDefault="00B34882">
      <w:pPr>
        <w:ind w:left="179" w:hanging="283"/>
        <w:jc w:val="both"/>
        <w:rPr>
          <w:rFonts w:ascii="Calibri" w:eastAsia="Calibri" w:hAnsi="Calibri" w:cs="Calibri"/>
          <w:sz w:val="21"/>
          <w:szCs w:val="21"/>
        </w:rPr>
      </w:pPr>
      <w:r>
        <w:rPr>
          <w:rFonts w:ascii="Calibri" w:eastAsia="Calibri" w:hAnsi="Calibri" w:cs="Calibri"/>
          <w:sz w:val="21"/>
          <w:szCs w:val="21"/>
        </w:rPr>
        <w:t xml:space="preserve">  TECHNOSERVICE-technické a komerční služby, s.r.o.</w:t>
      </w:r>
    </w:p>
    <w:p w14:paraId="000000AA" w14:textId="77777777" w:rsidR="00975C6A" w:rsidRDefault="00975C6A">
      <w:pPr>
        <w:rPr>
          <w:rFonts w:ascii="Calibri" w:eastAsia="Calibri" w:hAnsi="Calibri" w:cs="Calibri"/>
          <w:b/>
          <w:sz w:val="21"/>
          <w:szCs w:val="21"/>
          <w:highlight w:val="white"/>
        </w:rPr>
      </w:pPr>
    </w:p>
    <w:p w14:paraId="000000AB" w14:textId="77777777" w:rsidR="00975C6A" w:rsidRDefault="00B34882">
      <w:pPr>
        <w:rPr>
          <w:rFonts w:ascii="Calibri" w:eastAsia="Calibri" w:hAnsi="Calibri" w:cs="Calibri"/>
          <w:sz w:val="21"/>
          <w:szCs w:val="21"/>
        </w:rPr>
      </w:pPr>
      <w:r>
        <w:rPr>
          <w:rFonts w:ascii="Calibri" w:eastAsia="Calibri" w:hAnsi="Calibri" w:cs="Calibri"/>
          <w:b/>
          <w:sz w:val="21"/>
          <w:szCs w:val="21"/>
          <w:highlight w:val="white"/>
        </w:rPr>
        <w:tab/>
      </w:r>
      <w:r>
        <w:rPr>
          <w:rFonts w:ascii="Calibri" w:eastAsia="Calibri" w:hAnsi="Calibri" w:cs="Calibri"/>
          <w:b/>
          <w:sz w:val="21"/>
          <w:szCs w:val="21"/>
          <w:highlight w:val="white"/>
        </w:rPr>
        <w:tab/>
        <w:t xml:space="preserve">    </w:t>
      </w:r>
    </w:p>
    <w:p w14:paraId="000000AC" w14:textId="77777777" w:rsidR="00975C6A" w:rsidRDefault="00975C6A">
      <w:pPr>
        <w:rPr>
          <w:rFonts w:ascii="Calibri" w:eastAsia="Calibri" w:hAnsi="Calibri" w:cs="Calibri"/>
          <w:sz w:val="21"/>
          <w:szCs w:val="21"/>
        </w:rPr>
      </w:pPr>
    </w:p>
    <w:p w14:paraId="000000AD" w14:textId="77777777" w:rsidR="00975C6A" w:rsidRDefault="00B34882">
      <w:pPr>
        <w:rPr>
          <w:rFonts w:ascii="Calibri" w:eastAsia="Calibri" w:hAnsi="Calibri" w:cs="Calibri"/>
          <w:sz w:val="21"/>
          <w:szCs w:val="21"/>
        </w:rPr>
      </w:pPr>
      <w:r>
        <w:rPr>
          <w:rFonts w:ascii="Calibri" w:eastAsia="Calibri" w:hAnsi="Calibri" w:cs="Calibri"/>
          <w:i/>
          <w:sz w:val="21"/>
          <w:szCs w:val="21"/>
        </w:rPr>
        <w:t>Seznam příloh:</w:t>
      </w:r>
    </w:p>
    <w:p w14:paraId="000000AE" w14:textId="77777777" w:rsidR="00975C6A" w:rsidRDefault="00B34882">
      <w:pPr>
        <w:numPr>
          <w:ilvl w:val="0"/>
          <w:numId w:val="8"/>
        </w:numPr>
        <w:spacing w:before="280" w:after="60"/>
        <w:ind w:left="425" w:hanging="425"/>
        <w:rPr>
          <w:rFonts w:ascii="Calibri" w:eastAsia="Calibri" w:hAnsi="Calibri" w:cs="Calibri"/>
          <w:i/>
          <w:sz w:val="21"/>
          <w:szCs w:val="21"/>
        </w:rPr>
      </w:pPr>
      <w:r>
        <w:rPr>
          <w:rFonts w:ascii="Calibri" w:eastAsia="Calibri" w:hAnsi="Calibri" w:cs="Calibri"/>
          <w:i/>
          <w:sz w:val="21"/>
          <w:szCs w:val="21"/>
        </w:rPr>
        <w:t>Usnesení Městského soudu v Praze ze dne 7. 5. 2021, č.j. MSPH 77 INS 1285 / 2021–A-50</w:t>
      </w:r>
    </w:p>
    <w:p w14:paraId="000000AF" w14:textId="77777777" w:rsidR="00975C6A" w:rsidRDefault="00B34882">
      <w:pPr>
        <w:numPr>
          <w:ilvl w:val="0"/>
          <w:numId w:val="8"/>
        </w:numPr>
        <w:spacing w:after="60"/>
        <w:ind w:left="360"/>
        <w:rPr>
          <w:rFonts w:ascii="Calibri" w:eastAsia="Calibri" w:hAnsi="Calibri" w:cs="Calibri"/>
          <w:sz w:val="21"/>
          <w:szCs w:val="21"/>
        </w:rPr>
      </w:pPr>
      <w:r>
        <w:rPr>
          <w:rFonts w:ascii="Calibri" w:eastAsia="Calibri" w:hAnsi="Calibri" w:cs="Calibri"/>
          <w:i/>
          <w:sz w:val="21"/>
          <w:szCs w:val="21"/>
        </w:rPr>
        <w:t xml:space="preserve"> Pokyn zajištěného věřitele IFIS investiční fond, a.s.</w:t>
      </w:r>
    </w:p>
    <w:p w14:paraId="000000B0" w14:textId="77777777" w:rsidR="00975C6A" w:rsidRDefault="00B34882">
      <w:pPr>
        <w:numPr>
          <w:ilvl w:val="0"/>
          <w:numId w:val="8"/>
        </w:numPr>
        <w:spacing w:after="60"/>
        <w:ind w:left="360"/>
        <w:rPr>
          <w:rFonts w:ascii="Calibri" w:eastAsia="Calibri" w:hAnsi="Calibri" w:cs="Calibri"/>
          <w:sz w:val="21"/>
          <w:szCs w:val="21"/>
        </w:rPr>
      </w:pPr>
      <w:r>
        <w:rPr>
          <w:rFonts w:ascii="Calibri" w:eastAsia="Calibri" w:hAnsi="Calibri" w:cs="Calibri"/>
          <w:i/>
          <w:sz w:val="21"/>
          <w:szCs w:val="21"/>
        </w:rPr>
        <w:t xml:space="preserve"> LV č. 7915 pro </w:t>
      </w:r>
      <w:proofErr w:type="spellStart"/>
      <w:r>
        <w:rPr>
          <w:rFonts w:ascii="Calibri" w:eastAsia="Calibri" w:hAnsi="Calibri" w:cs="Calibri"/>
          <w:i/>
          <w:sz w:val="21"/>
          <w:szCs w:val="21"/>
        </w:rPr>
        <w:t>k.ú</w:t>
      </w:r>
      <w:proofErr w:type="spellEnd"/>
      <w:r>
        <w:rPr>
          <w:rFonts w:ascii="Calibri" w:eastAsia="Calibri" w:hAnsi="Calibri" w:cs="Calibri"/>
          <w:i/>
          <w:sz w:val="21"/>
          <w:szCs w:val="21"/>
        </w:rPr>
        <w:t xml:space="preserve">. Město Žďár </w:t>
      </w:r>
    </w:p>
    <w:sectPr w:rsidR="00975C6A">
      <w:headerReference w:type="default" r:id="rId7"/>
      <w:footerReference w:type="default" r:id="rId8"/>
      <w:headerReference w:type="first" r:id="rId9"/>
      <w:footerReference w:type="first" r:id="rId10"/>
      <w:pgSz w:w="11906" w:h="16838"/>
      <w:pgMar w:top="766" w:right="720" w:bottom="766" w:left="72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2DBA0" w14:textId="77777777" w:rsidR="00000000" w:rsidRDefault="00B34882">
      <w:r>
        <w:separator/>
      </w:r>
    </w:p>
  </w:endnote>
  <w:endnote w:type="continuationSeparator" w:id="0">
    <w:p w14:paraId="2ABDA18F" w14:textId="77777777" w:rsidR="00000000" w:rsidRDefault="00B3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4" w14:textId="76E70C5E" w:rsidR="00975C6A" w:rsidRDefault="00B34882">
    <w:pPr>
      <w:pBdr>
        <w:top w:val="nil"/>
        <w:left w:val="nil"/>
        <w:bottom w:val="nil"/>
        <w:right w:val="nil"/>
        <w:between w:val="nil"/>
      </w:pBdr>
      <w:tabs>
        <w:tab w:val="center" w:pos="4536"/>
        <w:tab w:val="right" w:pos="9072"/>
      </w:tabs>
      <w:jc w:val="center"/>
      <w:rPr>
        <w:color w:val="000000"/>
      </w:rPr>
    </w:pP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Pr>
        <w:rFonts w:ascii="Calibri" w:eastAsia="Calibri" w:hAnsi="Calibri" w:cs="Calibri"/>
        <w:noProof/>
        <w:color w:val="000000"/>
        <w:sz w:val="18"/>
        <w:szCs w:val="18"/>
      </w:rPr>
      <w:t>2</w:t>
    </w:r>
    <w:r>
      <w:rPr>
        <w:rFonts w:ascii="Calibri" w:eastAsia="Calibri" w:hAnsi="Calibri" w:cs="Calibri"/>
        <w:color w:val="00000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3" w14:textId="5D934C68" w:rsidR="00975C6A" w:rsidRDefault="00B34882">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23659" w14:textId="77777777" w:rsidR="00000000" w:rsidRDefault="00B34882">
      <w:r>
        <w:separator/>
      </w:r>
    </w:p>
  </w:footnote>
  <w:footnote w:type="continuationSeparator" w:id="0">
    <w:p w14:paraId="49BA997B" w14:textId="77777777" w:rsidR="00000000" w:rsidRDefault="00B34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2" w14:textId="77777777" w:rsidR="00975C6A" w:rsidRDefault="00975C6A">
    <w:pPr>
      <w:pBdr>
        <w:top w:val="nil"/>
        <w:left w:val="nil"/>
        <w:bottom w:val="nil"/>
        <w:right w:val="nil"/>
        <w:between w:val="nil"/>
      </w:pBdr>
      <w:tabs>
        <w:tab w:val="center" w:pos="4536"/>
        <w:tab w:val="right" w:pos="9072"/>
        <w:tab w:val="left" w:pos="3143"/>
        <w:tab w:val="center" w:pos="510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77777777" w:rsidR="00975C6A" w:rsidRDefault="00975C6A">
    <w:pPr>
      <w:pBdr>
        <w:top w:val="nil"/>
        <w:left w:val="nil"/>
        <w:bottom w:val="nil"/>
        <w:right w:val="nil"/>
        <w:between w:val="nil"/>
      </w:pBdr>
      <w:tabs>
        <w:tab w:val="center" w:pos="4536"/>
        <w:tab w:val="right" w:pos="9072"/>
        <w:tab w:val="left" w:pos="3143"/>
        <w:tab w:val="center" w:pos="5102"/>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4965"/>
    <w:multiLevelType w:val="multilevel"/>
    <w:tmpl w:val="D564E400"/>
    <w:lvl w:ilvl="0">
      <w:start w:val="1"/>
      <w:numFmt w:val="decimal"/>
      <w:lvlText w:val="%1."/>
      <w:lvlJc w:val="left"/>
      <w:pPr>
        <w:ind w:left="420" w:hanging="360"/>
      </w:pPr>
      <w:rPr>
        <w:b/>
        <w:sz w:val="20"/>
        <w:szCs w:val="2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 w15:restartNumberingAfterBreak="0">
    <w:nsid w:val="05C57C07"/>
    <w:multiLevelType w:val="multilevel"/>
    <w:tmpl w:val="B5CCC7E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88315A"/>
    <w:multiLevelType w:val="multilevel"/>
    <w:tmpl w:val="00CA7C0C"/>
    <w:lvl w:ilvl="0">
      <w:start w:val="1"/>
      <w:numFmt w:val="lowerRoman"/>
      <w:lvlText w:val="%1."/>
      <w:lvlJc w:val="left"/>
      <w:pPr>
        <w:ind w:left="1440" w:hanging="720"/>
      </w:pPr>
      <w:rPr>
        <w:b/>
        <w:sz w:val="20"/>
        <w:szCs w:val="2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F6290C"/>
    <w:multiLevelType w:val="multilevel"/>
    <w:tmpl w:val="CA08357E"/>
    <w:lvl w:ilvl="0">
      <w:start w:val="1"/>
      <w:numFmt w:val="decimal"/>
      <w:lvlText w:val="%1."/>
      <w:lvlJc w:val="left"/>
      <w:pPr>
        <w:ind w:left="420" w:hanging="360"/>
      </w:pPr>
      <w:rPr>
        <w:b/>
        <w:sz w:val="20"/>
        <w:szCs w:val="2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4" w15:restartNumberingAfterBreak="0">
    <w:nsid w:val="1E223CD0"/>
    <w:multiLevelType w:val="multilevel"/>
    <w:tmpl w:val="4EBCE12C"/>
    <w:lvl w:ilvl="0">
      <w:start w:val="1"/>
      <w:numFmt w:val="upperRoman"/>
      <w:lvlText w:val="%1."/>
      <w:lvlJc w:val="left"/>
      <w:pPr>
        <w:ind w:left="780" w:hanging="720"/>
      </w:pPr>
      <w:rPr>
        <w:b/>
        <w:sz w:val="20"/>
        <w:szCs w:val="2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23FF13E8"/>
    <w:multiLevelType w:val="multilevel"/>
    <w:tmpl w:val="B1FECA30"/>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6" w15:restartNumberingAfterBreak="0">
    <w:nsid w:val="299A207E"/>
    <w:multiLevelType w:val="multilevel"/>
    <w:tmpl w:val="7C961E40"/>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7" w15:restartNumberingAfterBreak="0">
    <w:nsid w:val="38E27FF3"/>
    <w:multiLevelType w:val="multilevel"/>
    <w:tmpl w:val="D25E0AF0"/>
    <w:lvl w:ilvl="0">
      <w:start w:val="1"/>
      <w:numFmt w:val="decimal"/>
      <w:lvlText w:val="%1."/>
      <w:lvlJc w:val="left"/>
      <w:pPr>
        <w:ind w:left="420" w:hanging="360"/>
      </w:pPr>
      <w:rPr>
        <w:b/>
        <w:sz w:val="20"/>
        <w:szCs w:val="2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8" w15:restartNumberingAfterBreak="0">
    <w:nsid w:val="441B7EE5"/>
    <w:multiLevelType w:val="multilevel"/>
    <w:tmpl w:val="D89C73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662C772F"/>
    <w:multiLevelType w:val="multilevel"/>
    <w:tmpl w:val="38D0D27C"/>
    <w:lvl w:ilvl="0">
      <w:start w:val="1"/>
      <w:numFmt w:val="bullet"/>
      <w:lvlText w:val="-"/>
      <w:lvlJc w:val="left"/>
      <w:pPr>
        <w:ind w:left="720" w:hanging="360"/>
      </w:pPr>
      <w:rPr>
        <w:rFonts w:ascii="Times New Roman" w:eastAsia="Times New Roman" w:hAnsi="Times New Roman" w:cs="Times New Roman"/>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63105DF"/>
    <w:multiLevelType w:val="multilevel"/>
    <w:tmpl w:val="C4FA609E"/>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5108737">
    <w:abstractNumId w:val="5"/>
  </w:num>
  <w:num w:numId="2" w16cid:durableId="642350354">
    <w:abstractNumId w:val="3"/>
  </w:num>
  <w:num w:numId="3" w16cid:durableId="1523469326">
    <w:abstractNumId w:val="10"/>
  </w:num>
  <w:num w:numId="4" w16cid:durableId="1218397429">
    <w:abstractNumId w:val="9"/>
  </w:num>
  <w:num w:numId="5" w16cid:durableId="432939792">
    <w:abstractNumId w:val="7"/>
  </w:num>
  <w:num w:numId="6" w16cid:durableId="123239411">
    <w:abstractNumId w:val="2"/>
  </w:num>
  <w:num w:numId="7" w16cid:durableId="594946161">
    <w:abstractNumId w:val="0"/>
  </w:num>
  <w:num w:numId="8" w16cid:durableId="1919559658">
    <w:abstractNumId w:val="1"/>
  </w:num>
  <w:num w:numId="9" w16cid:durableId="455376214">
    <w:abstractNumId w:val="4"/>
  </w:num>
  <w:num w:numId="10" w16cid:durableId="1811819697">
    <w:abstractNumId w:val="6"/>
  </w:num>
  <w:num w:numId="11" w16cid:durableId="2936070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C6A"/>
    <w:rsid w:val="00975C6A"/>
    <w:rsid w:val="00B34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14EF"/>
  <w15:docId w15:val="{91CF1E4B-5B1B-43BB-877A-49BCFE5D3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40"/>
      <w:outlineLvl w:val="1"/>
    </w:pPr>
    <w:rPr>
      <w:rFonts w:ascii="Calibri" w:eastAsia="Calibri" w:hAnsi="Calibri" w:cs="Calibri"/>
      <w:color w:val="366091"/>
      <w:sz w:val="26"/>
      <w:szCs w:val="26"/>
    </w:rPr>
  </w:style>
  <w:style w:type="paragraph" w:styleId="Nadpis3">
    <w:name w:val="heading 3"/>
    <w:basedOn w:val="Normln"/>
    <w:next w:val="Normln"/>
    <w:uiPriority w:val="9"/>
    <w:semiHidden/>
    <w:unhideWhenUsed/>
    <w:qFormat/>
    <w:pPr>
      <w:outlineLvl w:val="2"/>
    </w:pPr>
    <w:rPr>
      <w:rFonts w:ascii="Times New Roman" w:eastAsia="Times New Roman" w:hAnsi="Times New Roman" w:cs="Times New Roman"/>
      <w:b/>
      <w:sz w:val="27"/>
      <w:szCs w:val="27"/>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2812</Words>
  <Characters>16032</Characters>
  <Application>Microsoft Office Word</Application>
  <DocSecurity>0</DocSecurity>
  <Lines>133</Lines>
  <Paragraphs>37</Paragraphs>
  <ScaleCrop>false</ScaleCrop>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Prokonzulta Prokonzulta</cp:lastModifiedBy>
  <cp:revision>2</cp:revision>
  <dcterms:created xsi:type="dcterms:W3CDTF">2023-03-03T13:54:00Z</dcterms:created>
  <dcterms:modified xsi:type="dcterms:W3CDTF">2023-03-03T13:57:00Z</dcterms:modified>
</cp:coreProperties>
</file>